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883" w:firstLineChars="200"/>
        <w:jc w:val="center"/>
        <w:rPr>
          <w:rFonts w:hint="eastAsia" w:ascii="宋体" w:hAnsi="宋体"/>
          <w:b/>
          <w:sz w:val="44"/>
          <w:szCs w:val="44"/>
        </w:rPr>
      </w:pPr>
    </w:p>
    <w:p>
      <w:pPr>
        <w:ind w:firstLine="883" w:firstLineChars="200"/>
        <w:jc w:val="center"/>
        <w:rPr>
          <w:rFonts w:hint="eastAsia" w:ascii="宋体" w:hAnsi="宋体"/>
          <w:b/>
          <w:sz w:val="44"/>
          <w:szCs w:val="44"/>
        </w:rPr>
      </w:pPr>
    </w:p>
    <w:p>
      <w:pPr>
        <w:ind w:firstLine="883" w:firstLineChars="200"/>
        <w:jc w:val="center"/>
        <w:rPr>
          <w:rFonts w:hint="eastAsia" w:ascii="宋体" w:hAnsi="宋体"/>
          <w:b/>
          <w:bCs w:val="0"/>
          <w:sz w:val="44"/>
          <w:szCs w:val="44"/>
        </w:rPr>
      </w:pPr>
    </w:p>
    <w:p>
      <w:pPr>
        <w:spacing w:line="360" w:lineRule="auto"/>
        <w:jc w:val="center"/>
        <w:rPr>
          <w:rFonts w:hint="eastAsia" w:ascii="黑体" w:eastAsia="黑体" w:hAnsiTheme="minorHAnsi" w:cstheme="minorBidi"/>
          <w:b/>
          <w:kern w:val="22"/>
          <w:sz w:val="44"/>
          <w:szCs w:val="44"/>
        </w:rPr>
      </w:pPr>
      <w:r>
        <w:rPr>
          <w:rFonts w:hint="eastAsia" w:ascii="黑体" w:eastAsia="黑体" w:hAnsiTheme="minorHAnsi" w:cstheme="minorBidi"/>
          <w:b/>
          <w:kern w:val="22"/>
          <w:sz w:val="44"/>
          <w:szCs w:val="44"/>
        </w:rPr>
        <w:t>山西省地方标准</w:t>
      </w:r>
    </w:p>
    <w:p>
      <w:pPr>
        <w:spacing w:line="360" w:lineRule="auto"/>
        <w:jc w:val="center"/>
        <w:rPr>
          <w:rFonts w:hint="eastAsia" w:ascii="黑体" w:eastAsia="黑体" w:hAnsiTheme="minorHAnsi" w:cstheme="minorBidi"/>
          <w:b/>
          <w:kern w:val="22"/>
          <w:sz w:val="44"/>
          <w:szCs w:val="44"/>
        </w:rPr>
      </w:pPr>
      <w:r>
        <w:rPr>
          <w:rFonts w:hint="eastAsia" w:ascii="黑体" w:eastAsia="黑体" w:hAnsiTheme="minorHAnsi" w:cstheme="minorBidi"/>
          <w:b/>
          <w:kern w:val="22"/>
          <w:sz w:val="44"/>
          <w:szCs w:val="44"/>
        </w:rPr>
        <w:t>《高光效梨园</w:t>
      </w:r>
      <w:r>
        <w:rPr>
          <w:rFonts w:hint="eastAsia" w:ascii="黑体" w:eastAsia="黑体" w:hAnsiTheme="minorHAnsi" w:cstheme="minorBidi"/>
          <w:b/>
          <w:kern w:val="22"/>
          <w:sz w:val="44"/>
          <w:szCs w:val="44"/>
          <w:lang w:val="en-US" w:eastAsia="zh-CN"/>
        </w:rPr>
        <w:t>生产</w:t>
      </w:r>
      <w:r>
        <w:rPr>
          <w:rFonts w:hint="eastAsia" w:ascii="黑体" w:eastAsia="黑体" w:hAnsiTheme="minorHAnsi" w:cstheme="minorBidi"/>
          <w:b/>
          <w:kern w:val="22"/>
          <w:sz w:val="44"/>
          <w:szCs w:val="44"/>
        </w:rPr>
        <w:t>技术规程》</w:t>
      </w:r>
    </w:p>
    <w:p>
      <w:pPr>
        <w:spacing w:line="360" w:lineRule="auto"/>
        <w:jc w:val="center"/>
        <w:rPr>
          <w:rFonts w:hint="eastAsia" w:ascii="黑体" w:eastAsia="黑体" w:hAnsiTheme="minorHAnsi" w:cstheme="minorBidi"/>
          <w:b/>
          <w:kern w:val="22"/>
          <w:sz w:val="44"/>
          <w:szCs w:val="44"/>
        </w:rPr>
      </w:pPr>
      <w:r>
        <w:rPr>
          <w:rFonts w:hint="eastAsia" w:ascii="黑体" w:eastAsia="黑体" w:hAnsiTheme="minorHAnsi" w:cstheme="minorBidi"/>
          <w:b/>
          <w:kern w:val="22"/>
          <w:sz w:val="44"/>
          <w:szCs w:val="44"/>
        </w:rPr>
        <w:t>编制说明</w:t>
      </w:r>
    </w:p>
    <w:p>
      <w:pPr>
        <w:spacing w:line="360" w:lineRule="auto"/>
        <w:jc w:val="center"/>
        <w:rPr>
          <w:rFonts w:hint="eastAsia" w:ascii="黑体" w:eastAsia="黑体" w:hAnsiTheme="minorHAnsi" w:cstheme="minorBidi"/>
          <w:b/>
          <w:kern w:val="22"/>
          <w:sz w:val="44"/>
          <w:szCs w:val="44"/>
        </w:rPr>
      </w:pPr>
      <w:r>
        <w:rPr>
          <w:rFonts w:hint="eastAsia" w:ascii="黑体" w:eastAsia="黑体" w:hAnsiTheme="minorHAnsi" w:cstheme="minorBidi"/>
          <w:b/>
          <w:kern w:val="22"/>
          <w:sz w:val="44"/>
          <w:szCs w:val="44"/>
        </w:rPr>
        <w:t xml:space="preserve">       </w:t>
      </w:r>
    </w:p>
    <w:p>
      <w:pPr>
        <w:spacing w:line="360" w:lineRule="auto"/>
        <w:jc w:val="center"/>
        <w:rPr>
          <w:rFonts w:hint="eastAsia" w:ascii="宋体" w:hAnsi="宋体"/>
          <w:b/>
          <w:sz w:val="44"/>
          <w:szCs w:val="44"/>
        </w:rPr>
      </w:pPr>
    </w:p>
    <w:p>
      <w:pPr>
        <w:ind w:firstLine="883" w:firstLineChars="200"/>
        <w:rPr>
          <w:rFonts w:hint="eastAsia" w:ascii="宋体" w:hAnsi="宋体"/>
          <w:b/>
          <w:sz w:val="44"/>
          <w:szCs w:val="44"/>
        </w:rPr>
      </w:pPr>
    </w:p>
    <w:p>
      <w:pPr>
        <w:ind w:firstLine="883" w:firstLineChars="200"/>
        <w:rPr>
          <w:rFonts w:hint="eastAsia" w:ascii="宋体" w:hAnsi="宋体"/>
          <w:b/>
          <w:sz w:val="44"/>
          <w:szCs w:val="44"/>
        </w:rPr>
      </w:pPr>
    </w:p>
    <w:p>
      <w:pPr>
        <w:ind w:firstLine="883" w:firstLineChars="200"/>
        <w:rPr>
          <w:rFonts w:hint="eastAsia" w:ascii="宋体" w:hAnsi="宋体"/>
          <w:b/>
          <w:sz w:val="44"/>
          <w:szCs w:val="44"/>
        </w:rPr>
      </w:pPr>
    </w:p>
    <w:p>
      <w:pPr>
        <w:ind w:firstLine="883" w:firstLineChars="200"/>
        <w:rPr>
          <w:rFonts w:hint="eastAsia" w:ascii="宋体" w:hAnsi="宋体"/>
          <w:b/>
          <w:sz w:val="44"/>
          <w:szCs w:val="44"/>
        </w:rPr>
      </w:pPr>
    </w:p>
    <w:p>
      <w:pPr>
        <w:ind w:firstLine="883" w:firstLineChars="200"/>
        <w:rPr>
          <w:rFonts w:hint="eastAsia" w:ascii="宋体" w:hAnsi="宋体"/>
          <w:b/>
          <w:sz w:val="44"/>
          <w:szCs w:val="44"/>
        </w:rPr>
      </w:pPr>
    </w:p>
    <w:p>
      <w:pPr>
        <w:ind w:firstLine="883" w:firstLineChars="200"/>
        <w:rPr>
          <w:rFonts w:hint="eastAsia" w:ascii="宋体" w:hAnsi="宋体"/>
          <w:b/>
          <w:sz w:val="44"/>
          <w:szCs w:val="44"/>
        </w:rPr>
      </w:pPr>
    </w:p>
    <w:p>
      <w:pPr>
        <w:ind w:firstLine="883" w:firstLineChars="200"/>
        <w:rPr>
          <w:rFonts w:hint="eastAsia" w:ascii="宋体" w:hAnsi="宋体"/>
          <w:b/>
          <w:sz w:val="44"/>
          <w:szCs w:val="44"/>
        </w:rPr>
      </w:pPr>
    </w:p>
    <w:p>
      <w:pPr>
        <w:ind w:firstLine="883" w:firstLineChars="200"/>
        <w:rPr>
          <w:rFonts w:hint="eastAsia" w:ascii="宋体" w:hAnsi="宋体"/>
          <w:b/>
          <w:sz w:val="44"/>
          <w:szCs w:val="44"/>
        </w:rPr>
      </w:pPr>
    </w:p>
    <w:p>
      <w:pPr>
        <w:ind w:firstLine="883" w:firstLineChars="200"/>
        <w:rPr>
          <w:rFonts w:hint="eastAsia" w:ascii="宋体" w:hAnsi="宋体"/>
          <w:b/>
          <w:sz w:val="44"/>
          <w:szCs w:val="44"/>
        </w:rPr>
      </w:pPr>
    </w:p>
    <w:p>
      <w:pPr>
        <w:spacing w:line="360" w:lineRule="auto"/>
        <w:jc w:val="center"/>
        <w:rPr>
          <w:rFonts w:hint="eastAsia" w:ascii="宋体" w:hAnsi="宋体"/>
          <w:b/>
          <w:kern w:val="22"/>
          <w:sz w:val="32"/>
          <w:szCs w:val="32"/>
        </w:rPr>
      </w:pPr>
      <w:r>
        <w:rPr>
          <w:rFonts w:hint="eastAsia" w:ascii="宋体" w:hAnsi="宋体"/>
          <w:b/>
          <w:kern w:val="22"/>
          <w:sz w:val="32"/>
          <w:szCs w:val="32"/>
        </w:rPr>
        <w:t>编制单位：山西农业大学</w:t>
      </w:r>
    </w:p>
    <w:p>
      <w:pPr>
        <w:spacing w:line="360" w:lineRule="auto"/>
        <w:jc w:val="center"/>
        <w:rPr>
          <w:rFonts w:hint="eastAsia" w:ascii="宋体" w:hAnsi="宋体"/>
          <w:sz w:val="32"/>
          <w:szCs w:val="32"/>
        </w:rPr>
      </w:pPr>
      <w:r>
        <w:rPr>
          <w:rFonts w:hint="eastAsia" w:ascii="宋体" w:hAnsi="宋体" w:cs="宋体"/>
          <w:b/>
          <w:bCs/>
          <w:sz w:val="32"/>
          <w:szCs w:val="32"/>
        </w:rPr>
        <w:t>二〇二四年</w:t>
      </w:r>
      <w:r>
        <w:rPr>
          <w:rFonts w:hint="eastAsia" w:ascii="宋体" w:hAnsi="宋体" w:cs="宋体"/>
          <w:b/>
          <w:bCs/>
          <w:sz w:val="32"/>
          <w:szCs w:val="32"/>
          <w:lang w:val="en-US" w:eastAsia="zh-CN"/>
        </w:rPr>
        <w:t>三</w:t>
      </w:r>
      <w:r>
        <w:rPr>
          <w:rFonts w:hint="eastAsia" w:ascii="宋体" w:hAnsi="宋体" w:cs="宋体"/>
          <w:b/>
          <w:bCs/>
          <w:sz w:val="32"/>
          <w:szCs w:val="32"/>
        </w:rPr>
        <w:t>月</w:t>
      </w:r>
    </w:p>
    <w:p>
      <w:pPr>
        <w:jc w:val="left"/>
        <w:rPr>
          <w:rFonts w:hint="eastAsia"/>
          <w:sz w:val="28"/>
        </w:rPr>
      </w:pPr>
    </w:p>
    <w:p>
      <w:pPr>
        <w:jc w:val="left"/>
        <w:rPr>
          <w:rFonts w:hint="eastAsia"/>
          <w:sz w:val="28"/>
        </w:rPr>
      </w:pP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sz w:val="28"/>
        </w:rPr>
      </w:pPr>
    </w:p>
    <w:p>
      <w:pPr>
        <w:jc w:val="left"/>
        <w:rPr>
          <w:rFonts w:hint="eastAsia"/>
          <w:sz w:val="28"/>
        </w:rPr>
      </w:pP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b/>
          <w:sz w:val="30"/>
          <w:szCs w:val="30"/>
        </w:rPr>
      </w:pPr>
      <w:r>
        <w:rPr>
          <w:rFonts w:hint="eastAsia" w:ascii="宋体" w:hAnsi="宋体"/>
          <w:b/>
          <w:sz w:val="30"/>
          <w:szCs w:val="30"/>
        </w:rPr>
        <w:t>山西省地方标准</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b/>
          <w:sz w:val="30"/>
          <w:szCs w:val="30"/>
        </w:rPr>
      </w:pPr>
      <w:r>
        <w:rPr>
          <w:rFonts w:hint="eastAsia" w:ascii="宋体" w:hAnsi="宋体"/>
          <w:b/>
          <w:sz w:val="30"/>
          <w:szCs w:val="30"/>
        </w:rPr>
        <w:t xml:space="preserve">   《高光效梨园</w:t>
      </w:r>
      <w:r>
        <w:rPr>
          <w:rFonts w:hint="eastAsia" w:ascii="宋体" w:hAnsi="宋体"/>
          <w:b/>
          <w:sz w:val="30"/>
          <w:szCs w:val="30"/>
          <w:lang w:val="en-US" w:eastAsia="zh-CN"/>
        </w:rPr>
        <w:t>生产</w:t>
      </w:r>
      <w:r>
        <w:rPr>
          <w:rFonts w:hint="eastAsia" w:ascii="宋体" w:hAnsi="宋体"/>
          <w:b/>
          <w:sz w:val="30"/>
          <w:szCs w:val="30"/>
        </w:rPr>
        <w:t>技术规程》</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b/>
          <w:sz w:val="30"/>
          <w:szCs w:val="30"/>
        </w:rPr>
      </w:pPr>
      <w:r>
        <w:rPr>
          <w:rFonts w:hint="eastAsia" w:ascii="宋体" w:hAnsi="宋体"/>
          <w:b/>
          <w:sz w:val="30"/>
          <w:szCs w:val="30"/>
        </w:rPr>
        <w:t>编制说明</w:t>
      </w:r>
    </w:p>
    <w:p>
      <w:pPr>
        <w:spacing w:line="360" w:lineRule="auto"/>
        <w:ind w:firstLine="480" w:firstLineChars="200"/>
        <w:outlineLvl w:val="0"/>
        <w:rPr>
          <w:rFonts w:hint="eastAsia" w:ascii="黑体" w:eastAsia="黑体"/>
          <w:sz w:val="24"/>
        </w:rPr>
      </w:pPr>
    </w:p>
    <w:p>
      <w:pPr>
        <w:spacing w:line="360" w:lineRule="auto"/>
        <w:ind w:firstLine="480" w:firstLineChars="200"/>
        <w:outlineLvl w:val="0"/>
        <w:rPr>
          <w:rFonts w:ascii="黑体" w:eastAsia="黑体"/>
          <w:sz w:val="24"/>
        </w:rPr>
      </w:pPr>
      <w:r>
        <w:rPr>
          <w:rFonts w:hint="eastAsia" w:ascii="黑体" w:eastAsia="黑体"/>
          <w:sz w:val="24"/>
        </w:rPr>
        <w:t>一、工作简况</w:t>
      </w:r>
    </w:p>
    <w:p>
      <w:pPr>
        <w:spacing w:line="360" w:lineRule="auto"/>
        <w:ind w:left="465"/>
        <w:outlineLvl w:val="1"/>
        <w:rPr>
          <w:rFonts w:ascii="楷体_GB2312" w:eastAsia="楷体_GB2312"/>
          <w:sz w:val="24"/>
        </w:rPr>
      </w:pPr>
      <w:r>
        <w:rPr>
          <w:rFonts w:ascii="楷体_GB2312" w:eastAsia="楷体_GB2312"/>
          <w:sz w:val="24"/>
        </w:rPr>
        <w:t>1</w:t>
      </w:r>
      <w:r>
        <w:rPr>
          <w:rFonts w:hint="eastAsia" w:ascii="楷体_GB2312" w:eastAsia="楷体_GB2312"/>
          <w:sz w:val="24"/>
        </w:rPr>
        <w:t>任务来源</w:t>
      </w:r>
    </w:p>
    <w:p>
      <w:pPr>
        <w:spacing w:line="360" w:lineRule="auto"/>
        <w:ind w:firstLine="480" w:firstLineChars="200"/>
        <w:jc w:val="left"/>
        <w:outlineLvl w:val="1"/>
        <w:rPr>
          <w:rFonts w:hint="eastAsia" w:ascii="仿宋_GB2312" w:hAnsi="宋体" w:eastAsia="仿宋_GB2312"/>
          <w:sz w:val="24"/>
        </w:rPr>
      </w:pPr>
      <w:r>
        <w:rPr>
          <w:rFonts w:hint="eastAsia" w:ascii="仿宋_GB2312" w:hAnsi="宋体" w:eastAsia="仿宋_GB2312"/>
          <w:sz w:val="24"/>
        </w:rPr>
        <w:t>根据山西省市场监督管理局关于</w:t>
      </w:r>
      <w:r>
        <w:rPr>
          <w:rFonts w:ascii="仿宋_GB2312" w:hAnsi="宋体" w:eastAsia="仿宋_GB2312"/>
          <w:sz w:val="24"/>
        </w:rPr>
        <w:t>2022</w:t>
      </w:r>
      <w:r>
        <w:rPr>
          <w:rFonts w:hint="eastAsia" w:ascii="仿宋_GB2312" w:hAnsi="宋体" w:eastAsia="仿宋_GB2312"/>
          <w:sz w:val="24"/>
        </w:rPr>
        <w:t>年度省级地方标准复审结论公告（山西省地方标准公告</w:t>
      </w:r>
      <w:r>
        <w:rPr>
          <w:rFonts w:ascii="仿宋_GB2312" w:hAnsi="宋体" w:eastAsia="仿宋_GB2312"/>
          <w:sz w:val="24"/>
        </w:rPr>
        <w:t>2022</w:t>
      </w:r>
      <w:r>
        <w:rPr>
          <w:rFonts w:hint="eastAsia" w:ascii="仿宋_GB2312" w:hAnsi="宋体" w:eastAsia="仿宋_GB2312"/>
          <w:sz w:val="24"/>
        </w:rPr>
        <w:t>年第</w:t>
      </w:r>
      <w:r>
        <w:rPr>
          <w:rFonts w:ascii="仿宋_GB2312" w:hAnsi="宋体" w:eastAsia="仿宋_GB2312"/>
          <w:sz w:val="24"/>
        </w:rPr>
        <w:t>20</w:t>
      </w:r>
      <w:r>
        <w:rPr>
          <w:rFonts w:hint="eastAsia" w:ascii="仿宋_GB2312" w:hAnsi="宋体" w:eastAsia="仿宋_GB2312"/>
          <w:sz w:val="24"/>
        </w:rPr>
        <w:t>号）要求，山西省农业农村厅等单位组织修订地方标准项目。经审查，《梨树高光效果园建设技术规程》</w:t>
      </w:r>
      <w:r>
        <w:rPr>
          <w:rFonts w:ascii="仿宋_GB2312" w:hAnsi="宋体" w:eastAsia="仿宋_GB2312"/>
          <w:sz w:val="24"/>
        </w:rPr>
        <w:t>DB14/T</w:t>
      </w:r>
      <w:r>
        <w:rPr>
          <w:rFonts w:hint="eastAsia" w:ascii="仿宋_GB2312" w:hAnsi="宋体" w:eastAsia="仿宋_GB2312"/>
          <w:sz w:val="24"/>
        </w:rPr>
        <w:t>1643</w:t>
      </w:r>
      <w:r>
        <w:rPr>
          <w:rFonts w:ascii="仿宋_GB2312" w:hAnsi="宋体" w:eastAsia="仿宋_GB2312"/>
          <w:sz w:val="24"/>
        </w:rPr>
        <w:t>-201</w:t>
      </w:r>
      <w:r>
        <w:rPr>
          <w:rFonts w:hint="eastAsia" w:ascii="仿宋_GB2312" w:hAnsi="宋体" w:eastAsia="仿宋_GB2312"/>
          <w:sz w:val="24"/>
        </w:rPr>
        <w:t>8列为山西省地方标准修订计划，本标准由山西省农业标准化技术委员会（</w:t>
      </w:r>
      <w:r>
        <w:rPr>
          <w:rFonts w:ascii="仿宋_GB2312" w:hAnsi="宋体" w:eastAsia="仿宋_GB2312"/>
          <w:sz w:val="24"/>
        </w:rPr>
        <w:t>SXS/TC19</w:t>
      </w:r>
      <w:r>
        <w:rPr>
          <w:rFonts w:hint="eastAsia" w:ascii="仿宋_GB2312" w:hAnsi="宋体" w:eastAsia="仿宋_GB2312"/>
          <w:sz w:val="24"/>
        </w:rPr>
        <w:t>）归口。</w:t>
      </w:r>
    </w:p>
    <w:p>
      <w:pPr>
        <w:spacing w:line="360" w:lineRule="auto"/>
        <w:ind w:firstLine="480" w:firstLineChars="200"/>
        <w:rPr>
          <w:rFonts w:hint="eastAsia" w:ascii="仿宋_GB2312" w:hAnsi="宋体" w:eastAsia="仿宋_GB2312"/>
          <w:sz w:val="24"/>
        </w:rPr>
      </w:pPr>
      <w:r>
        <w:rPr>
          <w:rFonts w:hint="eastAsia" w:ascii="仿宋_GB2312" w:hAnsi="宋体" w:eastAsia="仿宋_GB2312"/>
          <w:sz w:val="24"/>
        </w:rPr>
        <w:t>梨树是山西省中南部的优势水果产业之一，全省现有栽培面积150万亩左右。我省梨树主产区海拔高、昼夜温差大，具备生产优质梨果的外在环境条件。另一方面，由于现有果园栽培管理技术标准化程度不高，加之果园郁闭严重、树形模式紊乱，导致果园经济效益参差不齐，影响了我省梨树产业的标准化发展和品质提升。</w:t>
      </w:r>
    </w:p>
    <w:p>
      <w:pPr>
        <w:spacing w:line="360" w:lineRule="auto"/>
        <w:ind w:firstLine="480" w:firstLineChars="200"/>
        <w:jc w:val="left"/>
        <w:outlineLvl w:val="1"/>
        <w:rPr>
          <w:rFonts w:ascii="仿宋_GB2312" w:hAnsi="宋体" w:eastAsia="仿宋_GB2312"/>
          <w:sz w:val="24"/>
        </w:rPr>
      </w:pPr>
      <w:r>
        <w:rPr>
          <w:rFonts w:hint="eastAsia" w:ascii="仿宋_GB2312" w:hAnsi="宋体" w:eastAsia="仿宋_GB2312"/>
          <w:sz w:val="24"/>
        </w:rPr>
        <w:t>山西农业大学（山西省农业科学院）园艺学院依托国家科技支撑计划项目“梨优质高效生产关键技术研究与示范”、 山西省水果产业技术体系建设重视项目“玉露香梨优质高效生产关键技术研究”、 中央引导地方农业科技成果转化项目“玉露香梨优质高效标准化生产关键技术示范推广”系列项目，在梨树高光效果园适地栽培、品种遴选、建园模式、整形修剪等领域形成了系列研究成果，制定了《梨树高光效果园建设技术规程》（</w:t>
      </w:r>
      <w:r>
        <w:rPr>
          <w:rFonts w:ascii="仿宋_GB2312" w:hAnsi="宋体" w:eastAsia="仿宋_GB2312"/>
          <w:sz w:val="24"/>
        </w:rPr>
        <w:t>DB14/T</w:t>
      </w:r>
      <w:r>
        <w:rPr>
          <w:rFonts w:hint="eastAsia" w:ascii="仿宋_GB2312" w:hAnsi="宋体" w:eastAsia="仿宋_GB2312"/>
          <w:sz w:val="24"/>
        </w:rPr>
        <w:t>1643</w:t>
      </w:r>
      <w:r>
        <w:rPr>
          <w:rFonts w:ascii="仿宋_GB2312" w:hAnsi="宋体" w:eastAsia="仿宋_GB2312"/>
          <w:sz w:val="24"/>
        </w:rPr>
        <w:t>-201</w:t>
      </w:r>
      <w:r>
        <w:rPr>
          <w:rFonts w:hint="eastAsia" w:ascii="仿宋_GB2312" w:hAnsi="宋体" w:eastAsia="仿宋_GB2312"/>
          <w:sz w:val="24"/>
        </w:rPr>
        <w:t>8）。此次标准修订，将进一步增补新的内容，修订部分技术参数，以适应我省现代果业的发展。</w:t>
      </w:r>
    </w:p>
    <w:p>
      <w:pPr>
        <w:spacing w:line="360" w:lineRule="auto"/>
        <w:ind w:left="465"/>
        <w:outlineLvl w:val="1"/>
        <w:rPr>
          <w:rFonts w:ascii="楷体_GB2312" w:eastAsia="楷体_GB2312"/>
          <w:sz w:val="24"/>
        </w:rPr>
      </w:pPr>
      <w:r>
        <w:rPr>
          <w:rFonts w:ascii="楷体_GB2312" w:eastAsia="楷体_GB2312"/>
          <w:sz w:val="24"/>
        </w:rPr>
        <w:t xml:space="preserve">2 </w:t>
      </w:r>
      <w:r>
        <w:rPr>
          <w:rFonts w:hint="eastAsia" w:ascii="楷体_GB2312" w:eastAsia="楷体_GB2312"/>
          <w:sz w:val="24"/>
        </w:rPr>
        <w:t>起草单位和主要起草人</w:t>
      </w:r>
    </w:p>
    <w:p>
      <w:pPr>
        <w:spacing w:line="360" w:lineRule="auto"/>
        <w:ind w:firstLine="480" w:firstLineChars="200"/>
        <w:jc w:val="left"/>
        <w:outlineLvl w:val="1"/>
        <w:rPr>
          <w:rFonts w:hint="eastAsia" w:ascii="仿宋_GB2312" w:hAnsi="宋体" w:eastAsia="仿宋_GB2312"/>
          <w:sz w:val="24"/>
        </w:rPr>
      </w:pPr>
      <w:r>
        <w:rPr>
          <w:rFonts w:hint="eastAsia" w:ascii="仿宋_GB2312" w:hAnsi="宋体" w:eastAsia="仿宋_GB2312"/>
          <w:sz w:val="24"/>
        </w:rPr>
        <w:t>起草任务由山西农业大学实施。</w:t>
      </w:r>
    </w:p>
    <w:p>
      <w:pPr>
        <w:spacing w:line="360" w:lineRule="auto"/>
        <w:ind w:firstLine="480" w:firstLineChars="200"/>
        <w:jc w:val="left"/>
        <w:outlineLvl w:val="1"/>
        <w:rPr>
          <w:rFonts w:hint="eastAsia" w:ascii="仿宋_GB2312" w:hAnsi="宋体" w:eastAsia="仿宋_GB2312"/>
          <w:sz w:val="24"/>
        </w:rPr>
      </w:pPr>
    </w:p>
    <w:p>
      <w:pPr>
        <w:spacing w:line="360" w:lineRule="auto"/>
        <w:ind w:firstLine="480" w:firstLineChars="200"/>
        <w:jc w:val="left"/>
        <w:outlineLvl w:val="1"/>
        <w:rPr>
          <w:rFonts w:hint="eastAsia" w:ascii="仿宋_GB2312" w:hAnsi="宋体" w:eastAsia="仿宋_GB2312"/>
          <w:sz w:val="24"/>
        </w:rPr>
      </w:pPr>
    </w:p>
    <w:p>
      <w:pPr>
        <w:spacing w:line="360" w:lineRule="auto"/>
        <w:ind w:firstLine="480" w:firstLineChars="200"/>
        <w:jc w:val="left"/>
        <w:outlineLvl w:val="1"/>
        <w:rPr>
          <w:rFonts w:hint="eastAsia" w:ascii="仿宋_GB2312" w:hAnsi="宋体" w:eastAsia="仿宋_GB2312"/>
          <w:sz w:val="24"/>
        </w:rPr>
      </w:pPr>
    </w:p>
    <w:p>
      <w:pPr>
        <w:spacing w:line="360" w:lineRule="auto"/>
        <w:ind w:firstLine="480" w:firstLineChars="200"/>
        <w:jc w:val="center"/>
        <w:outlineLvl w:val="1"/>
        <w:rPr>
          <w:rFonts w:ascii="仿宋_GB2312" w:hAnsi="宋体" w:eastAsia="仿宋_GB2312"/>
          <w:sz w:val="24"/>
        </w:rPr>
      </w:pPr>
      <w:r>
        <w:rPr>
          <w:rFonts w:hint="eastAsia" w:ascii="仿宋_GB2312" w:hAnsi="宋体" w:eastAsia="仿宋_GB2312"/>
          <w:sz w:val="24"/>
        </w:rPr>
        <w:t>表1    技术规程修订</w:t>
      </w:r>
      <w:r>
        <w:rPr>
          <w:rFonts w:ascii="仿宋_GB2312" w:hAnsi="宋体" w:eastAsia="仿宋_GB2312"/>
          <w:sz w:val="24"/>
        </w:rPr>
        <w:t>主要起草人信息</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993"/>
        <w:gridCol w:w="1701"/>
        <w:gridCol w:w="2693"/>
        <w:gridCol w:w="18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00" w:lineRule="exact"/>
              <w:ind w:left="0" w:right="0"/>
              <w:jc w:val="center"/>
              <w:rPr>
                <w:rFonts w:hint="default" w:ascii="仿宋" w:hAnsi="仿宋" w:eastAsia="仿宋" w:cs="Courier New"/>
                <w:sz w:val="24"/>
              </w:rPr>
            </w:pPr>
            <w:r>
              <w:rPr>
                <w:rFonts w:hint="eastAsia" w:ascii="仿宋" w:hAnsi="仿宋" w:eastAsia="仿宋" w:cs="Courier New"/>
                <w:sz w:val="24"/>
              </w:rPr>
              <w:t>姓名</w:t>
            </w:r>
          </w:p>
        </w:tc>
        <w:tc>
          <w:tcPr>
            <w:tcW w:w="993"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00" w:lineRule="exact"/>
              <w:ind w:left="0" w:right="0"/>
              <w:jc w:val="center"/>
              <w:rPr>
                <w:rFonts w:hint="default" w:ascii="仿宋" w:hAnsi="仿宋" w:eastAsia="仿宋" w:cs="Courier New"/>
                <w:sz w:val="24"/>
              </w:rPr>
            </w:pPr>
            <w:r>
              <w:rPr>
                <w:rFonts w:hint="eastAsia" w:ascii="仿宋" w:hAnsi="仿宋" w:eastAsia="仿宋" w:cs="Courier New"/>
                <w:sz w:val="24"/>
              </w:rPr>
              <w:t>性别</w:t>
            </w:r>
          </w:p>
        </w:tc>
        <w:tc>
          <w:tcPr>
            <w:tcW w:w="1701"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00" w:lineRule="exact"/>
              <w:ind w:left="0" w:right="0"/>
              <w:jc w:val="center"/>
              <w:rPr>
                <w:rFonts w:hint="default" w:ascii="仿宋" w:hAnsi="仿宋" w:eastAsia="仿宋" w:cs="Courier New"/>
                <w:sz w:val="24"/>
              </w:rPr>
            </w:pPr>
            <w:r>
              <w:rPr>
                <w:rFonts w:hint="eastAsia" w:ascii="仿宋" w:hAnsi="仿宋" w:eastAsia="仿宋" w:cs="Courier New"/>
                <w:sz w:val="24"/>
              </w:rPr>
              <w:t>职务</w:t>
            </w:r>
            <w:r>
              <w:rPr>
                <w:rFonts w:hint="default" w:ascii="仿宋" w:hAnsi="仿宋" w:eastAsia="仿宋" w:cs="Courier New"/>
                <w:sz w:val="24"/>
              </w:rPr>
              <w:t>/</w:t>
            </w:r>
            <w:r>
              <w:rPr>
                <w:rFonts w:hint="eastAsia" w:ascii="仿宋" w:hAnsi="仿宋" w:eastAsia="仿宋" w:cs="Courier New"/>
                <w:sz w:val="24"/>
              </w:rPr>
              <w:t>职称</w:t>
            </w:r>
          </w:p>
        </w:tc>
        <w:tc>
          <w:tcPr>
            <w:tcW w:w="2693"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00" w:lineRule="exact"/>
              <w:ind w:left="0" w:right="0"/>
              <w:jc w:val="center"/>
              <w:rPr>
                <w:rFonts w:hint="default" w:ascii="仿宋" w:hAnsi="仿宋" w:eastAsia="仿宋" w:cs="Courier New"/>
                <w:sz w:val="24"/>
              </w:rPr>
            </w:pPr>
            <w:r>
              <w:rPr>
                <w:rFonts w:hint="eastAsia" w:ascii="仿宋" w:hAnsi="仿宋" w:eastAsia="仿宋" w:cs="Courier New"/>
                <w:sz w:val="24"/>
              </w:rPr>
              <w:t>工作单位</w:t>
            </w:r>
          </w:p>
        </w:tc>
        <w:tc>
          <w:tcPr>
            <w:tcW w:w="1893"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00" w:lineRule="exact"/>
              <w:ind w:left="0" w:right="0"/>
              <w:jc w:val="center"/>
              <w:rPr>
                <w:rFonts w:hint="default" w:ascii="仿宋" w:hAnsi="仿宋" w:eastAsia="仿宋" w:cs="Courier New"/>
                <w:sz w:val="24"/>
              </w:rPr>
            </w:pPr>
            <w:r>
              <w:rPr>
                <w:rFonts w:hint="eastAsia" w:ascii="仿宋" w:hAnsi="仿宋" w:eastAsia="仿宋" w:cs="Courier New"/>
                <w:sz w:val="24"/>
              </w:rPr>
              <w:t>任务分工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00" w:lineRule="exact"/>
              <w:ind w:left="0" w:right="0"/>
              <w:jc w:val="center"/>
              <w:rPr>
                <w:rFonts w:hint="default" w:ascii="仿宋" w:hAnsi="仿宋" w:eastAsia="仿宋" w:cs="Courier New"/>
                <w:sz w:val="24"/>
              </w:rPr>
            </w:pPr>
            <w:r>
              <w:rPr>
                <w:rFonts w:hint="eastAsia" w:ascii="仿宋" w:hAnsi="仿宋" w:eastAsia="仿宋" w:cs="Courier New"/>
                <w:sz w:val="24"/>
              </w:rPr>
              <w:t>牛自勉</w:t>
            </w:r>
          </w:p>
        </w:tc>
        <w:tc>
          <w:tcPr>
            <w:tcW w:w="993"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00" w:lineRule="exact"/>
              <w:ind w:left="0" w:right="0"/>
              <w:jc w:val="center"/>
              <w:rPr>
                <w:rFonts w:hint="default" w:ascii="仿宋" w:hAnsi="仿宋" w:eastAsia="仿宋" w:cs="Courier New"/>
                <w:sz w:val="24"/>
              </w:rPr>
            </w:pPr>
            <w:r>
              <w:rPr>
                <w:rFonts w:hint="eastAsia" w:ascii="仿宋" w:hAnsi="仿宋" w:eastAsia="仿宋" w:cs="Courier New"/>
                <w:sz w:val="24"/>
              </w:rPr>
              <w:t>男</w:t>
            </w:r>
          </w:p>
        </w:tc>
        <w:tc>
          <w:tcPr>
            <w:tcW w:w="1701"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00" w:lineRule="exact"/>
              <w:ind w:left="0" w:right="0"/>
              <w:jc w:val="center"/>
              <w:rPr>
                <w:rFonts w:hint="default" w:ascii="仿宋" w:hAnsi="仿宋" w:eastAsia="仿宋" w:cs="Courier New"/>
                <w:sz w:val="24"/>
              </w:rPr>
            </w:pPr>
            <w:r>
              <w:rPr>
                <w:rFonts w:hint="eastAsia" w:ascii="仿宋" w:hAnsi="仿宋" w:eastAsia="仿宋" w:cs="Courier New"/>
                <w:sz w:val="24"/>
              </w:rPr>
              <w:t>研究员</w:t>
            </w:r>
          </w:p>
        </w:tc>
        <w:tc>
          <w:tcPr>
            <w:tcW w:w="2693"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00" w:lineRule="exact"/>
              <w:ind w:left="0" w:right="0"/>
              <w:jc w:val="center"/>
              <w:rPr>
                <w:rFonts w:hint="default" w:ascii="仿宋" w:hAnsi="仿宋" w:eastAsia="仿宋" w:cs="Courier New"/>
                <w:sz w:val="24"/>
              </w:rPr>
            </w:pPr>
            <w:r>
              <w:rPr>
                <w:rFonts w:hint="eastAsia" w:ascii="仿宋" w:hAnsi="仿宋" w:eastAsia="仿宋" w:cs="Courier New"/>
                <w:sz w:val="24"/>
              </w:rPr>
              <w:t>山西农业大学</w:t>
            </w:r>
          </w:p>
        </w:tc>
        <w:tc>
          <w:tcPr>
            <w:tcW w:w="1893"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00" w:lineRule="exact"/>
              <w:ind w:left="0" w:right="0"/>
              <w:jc w:val="center"/>
              <w:rPr>
                <w:rFonts w:hint="default" w:ascii="仿宋" w:hAnsi="仿宋" w:eastAsia="仿宋" w:cs="Courier New"/>
                <w:sz w:val="24"/>
              </w:rPr>
            </w:pPr>
            <w:r>
              <w:rPr>
                <w:rFonts w:hint="eastAsia" w:ascii="仿宋" w:hAnsi="仿宋" w:eastAsia="仿宋" w:cs="Courier New"/>
                <w:sz w:val="24"/>
              </w:rPr>
              <w:t>标准起草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00" w:lineRule="exact"/>
              <w:ind w:left="0" w:right="0"/>
              <w:jc w:val="center"/>
              <w:rPr>
                <w:rFonts w:hint="default" w:ascii="仿宋" w:hAnsi="仿宋" w:eastAsia="仿宋" w:cs="Courier New"/>
                <w:sz w:val="24"/>
              </w:rPr>
            </w:pPr>
            <w:r>
              <w:rPr>
                <w:rFonts w:hint="eastAsia" w:ascii="仿宋" w:hAnsi="仿宋" w:eastAsia="仿宋" w:cs="Courier New"/>
                <w:sz w:val="24"/>
              </w:rPr>
              <w:t>蔚露</w:t>
            </w:r>
          </w:p>
        </w:tc>
        <w:tc>
          <w:tcPr>
            <w:tcW w:w="993"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00" w:lineRule="exact"/>
              <w:ind w:left="0" w:right="0"/>
              <w:jc w:val="center"/>
              <w:rPr>
                <w:rFonts w:hint="default" w:ascii="仿宋" w:hAnsi="仿宋" w:eastAsia="仿宋" w:cs="Courier New"/>
                <w:sz w:val="24"/>
              </w:rPr>
            </w:pPr>
            <w:r>
              <w:rPr>
                <w:rFonts w:hint="eastAsia" w:ascii="仿宋" w:hAnsi="仿宋" w:eastAsia="仿宋" w:cs="Courier New"/>
                <w:sz w:val="24"/>
              </w:rPr>
              <w:t>女</w:t>
            </w:r>
          </w:p>
        </w:tc>
        <w:tc>
          <w:tcPr>
            <w:tcW w:w="1701"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00" w:lineRule="exact"/>
              <w:ind w:left="0" w:right="0"/>
              <w:jc w:val="center"/>
              <w:rPr>
                <w:rFonts w:hint="default" w:ascii="仿宋" w:hAnsi="仿宋" w:eastAsia="仿宋" w:cs="Courier New"/>
                <w:sz w:val="24"/>
              </w:rPr>
            </w:pPr>
            <w:r>
              <w:rPr>
                <w:rFonts w:hint="eastAsia" w:ascii="仿宋" w:hAnsi="仿宋" w:eastAsia="仿宋" w:cs="Courier New"/>
                <w:sz w:val="24"/>
              </w:rPr>
              <w:t>副研究员</w:t>
            </w:r>
          </w:p>
        </w:tc>
        <w:tc>
          <w:tcPr>
            <w:tcW w:w="2693"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00" w:lineRule="exact"/>
              <w:ind w:left="0" w:right="0"/>
              <w:jc w:val="center"/>
              <w:rPr>
                <w:rFonts w:hint="default" w:ascii="仿宋" w:hAnsi="仿宋" w:eastAsia="仿宋" w:cs="Courier New"/>
                <w:sz w:val="24"/>
              </w:rPr>
            </w:pPr>
            <w:r>
              <w:rPr>
                <w:rFonts w:hint="eastAsia" w:ascii="仿宋" w:hAnsi="仿宋" w:eastAsia="仿宋" w:cs="Courier New"/>
                <w:sz w:val="24"/>
              </w:rPr>
              <w:t>山西农业大学</w:t>
            </w:r>
          </w:p>
        </w:tc>
        <w:tc>
          <w:tcPr>
            <w:tcW w:w="1893"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00" w:lineRule="exact"/>
              <w:ind w:left="0" w:right="0"/>
              <w:jc w:val="center"/>
              <w:rPr>
                <w:rFonts w:hint="default" w:ascii="仿宋" w:hAnsi="仿宋" w:eastAsia="仿宋" w:cs="Courier New"/>
                <w:sz w:val="24"/>
              </w:rPr>
            </w:pPr>
            <w:r>
              <w:rPr>
                <w:rFonts w:hint="eastAsia" w:ascii="仿宋" w:hAnsi="仿宋" w:eastAsia="仿宋" w:cs="Courier New"/>
                <w:sz w:val="24"/>
              </w:rPr>
              <w:t>标准起草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00" w:lineRule="exact"/>
              <w:ind w:left="0" w:right="0"/>
              <w:jc w:val="center"/>
              <w:rPr>
                <w:rFonts w:hint="default" w:ascii="仿宋" w:hAnsi="仿宋" w:eastAsia="仿宋" w:cs="Courier New"/>
                <w:sz w:val="24"/>
              </w:rPr>
            </w:pPr>
            <w:r>
              <w:rPr>
                <w:rFonts w:hint="eastAsia" w:ascii="仿宋" w:hAnsi="仿宋" w:eastAsia="仿宋" w:cs="Courier New"/>
                <w:sz w:val="24"/>
              </w:rPr>
              <w:t>闫万丽</w:t>
            </w:r>
          </w:p>
        </w:tc>
        <w:tc>
          <w:tcPr>
            <w:tcW w:w="993"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00" w:lineRule="exact"/>
              <w:ind w:left="0" w:right="0"/>
              <w:jc w:val="center"/>
              <w:rPr>
                <w:rFonts w:hint="default" w:ascii="仿宋" w:hAnsi="仿宋" w:eastAsia="仿宋" w:cs="Courier New"/>
                <w:sz w:val="24"/>
              </w:rPr>
            </w:pPr>
            <w:r>
              <w:rPr>
                <w:rFonts w:hint="eastAsia" w:ascii="仿宋" w:hAnsi="仿宋" w:eastAsia="仿宋" w:cs="Courier New"/>
                <w:sz w:val="24"/>
              </w:rPr>
              <w:t>女</w:t>
            </w:r>
          </w:p>
        </w:tc>
        <w:tc>
          <w:tcPr>
            <w:tcW w:w="1701"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00" w:lineRule="exact"/>
              <w:ind w:left="0" w:right="0"/>
              <w:jc w:val="center"/>
              <w:rPr>
                <w:rFonts w:hint="default" w:ascii="仿宋" w:hAnsi="仿宋" w:eastAsia="仿宋" w:cs="Courier New"/>
                <w:sz w:val="24"/>
              </w:rPr>
            </w:pPr>
            <w:r>
              <w:rPr>
                <w:rFonts w:hint="eastAsia" w:ascii="仿宋" w:hAnsi="仿宋" w:eastAsia="仿宋" w:cs="Courier New"/>
                <w:sz w:val="24"/>
              </w:rPr>
              <w:t>助理研究员</w:t>
            </w:r>
          </w:p>
        </w:tc>
        <w:tc>
          <w:tcPr>
            <w:tcW w:w="2693"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00" w:lineRule="exact"/>
              <w:ind w:left="0" w:right="0"/>
              <w:jc w:val="center"/>
              <w:rPr>
                <w:rFonts w:hint="default" w:ascii="仿宋" w:hAnsi="仿宋" w:eastAsia="仿宋" w:cs="Courier New"/>
                <w:sz w:val="24"/>
              </w:rPr>
            </w:pPr>
            <w:r>
              <w:rPr>
                <w:rFonts w:hint="eastAsia" w:ascii="仿宋" w:hAnsi="仿宋" w:eastAsia="仿宋" w:cs="Courier New"/>
                <w:sz w:val="24"/>
              </w:rPr>
              <w:t>山西农业大学</w:t>
            </w:r>
          </w:p>
        </w:tc>
        <w:tc>
          <w:tcPr>
            <w:tcW w:w="1893"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00" w:lineRule="exact"/>
              <w:ind w:left="0" w:right="0"/>
              <w:jc w:val="center"/>
              <w:rPr>
                <w:rFonts w:hint="default" w:ascii="仿宋" w:hAnsi="仿宋" w:eastAsia="仿宋" w:cs="Courier New"/>
                <w:sz w:val="24"/>
              </w:rPr>
            </w:pPr>
            <w:r>
              <w:rPr>
                <w:rFonts w:hint="eastAsia" w:ascii="仿宋" w:hAnsi="仿宋" w:eastAsia="仿宋" w:cs="Courier New"/>
                <w:sz w:val="24"/>
              </w:rPr>
              <w:t>现场调研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trPr>
        <w:tc>
          <w:tcPr>
            <w:tcW w:w="1242"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00" w:lineRule="exact"/>
              <w:ind w:left="0" w:right="0"/>
              <w:jc w:val="center"/>
              <w:rPr>
                <w:rFonts w:hint="default" w:ascii="仿宋" w:hAnsi="仿宋" w:eastAsia="仿宋" w:cs="Courier New"/>
                <w:sz w:val="24"/>
              </w:rPr>
            </w:pPr>
            <w:r>
              <w:rPr>
                <w:rFonts w:hint="eastAsia" w:ascii="仿宋" w:hAnsi="仿宋" w:eastAsia="仿宋" w:cs="Courier New"/>
                <w:sz w:val="24"/>
              </w:rPr>
              <w:t>李志强</w:t>
            </w:r>
          </w:p>
        </w:tc>
        <w:tc>
          <w:tcPr>
            <w:tcW w:w="993"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00" w:lineRule="exact"/>
              <w:ind w:left="0" w:right="0"/>
              <w:jc w:val="center"/>
              <w:rPr>
                <w:rFonts w:hint="default" w:ascii="仿宋" w:hAnsi="仿宋" w:eastAsia="仿宋" w:cs="Courier New"/>
                <w:sz w:val="24"/>
              </w:rPr>
            </w:pPr>
            <w:r>
              <w:rPr>
                <w:rFonts w:hint="eastAsia" w:ascii="仿宋" w:hAnsi="仿宋" w:eastAsia="仿宋" w:cs="Courier New"/>
                <w:sz w:val="24"/>
              </w:rPr>
              <w:t>男</w:t>
            </w:r>
          </w:p>
        </w:tc>
        <w:tc>
          <w:tcPr>
            <w:tcW w:w="1701"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00" w:lineRule="exact"/>
              <w:ind w:left="0" w:right="0"/>
              <w:jc w:val="center"/>
              <w:rPr>
                <w:rFonts w:hint="default" w:ascii="仿宋" w:hAnsi="仿宋" w:eastAsia="仿宋" w:cs="Courier New"/>
                <w:sz w:val="24"/>
              </w:rPr>
            </w:pPr>
            <w:r>
              <w:rPr>
                <w:rFonts w:hint="eastAsia" w:ascii="仿宋" w:hAnsi="仿宋" w:eastAsia="仿宋" w:cs="Courier New"/>
                <w:sz w:val="24"/>
              </w:rPr>
              <w:t>副研究员</w:t>
            </w:r>
          </w:p>
        </w:tc>
        <w:tc>
          <w:tcPr>
            <w:tcW w:w="2693"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00" w:lineRule="exact"/>
              <w:ind w:left="0" w:right="0"/>
              <w:jc w:val="center"/>
              <w:rPr>
                <w:rFonts w:hint="default" w:ascii="仿宋" w:hAnsi="仿宋" w:eastAsia="仿宋" w:cs="Courier New"/>
                <w:sz w:val="24"/>
              </w:rPr>
            </w:pPr>
            <w:r>
              <w:rPr>
                <w:rFonts w:hint="eastAsia" w:ascii="仿宋" w:hAnsi="仿宋" w:eastAsia="仿宋" w:cs="Courier New"/>
                <w:sz w:val="24"/>
              </w:rPr>
              <w:t>山西农业大学</w:t>
            </w:r>
          </w:p>
        </w:tc>
        <w:tc>
          <w:tcPr>
            <w:tcW w:w="1893"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00" w:lineRule="exact"/>
              <w:ind w:left="0" w:right="0"/>
              <w:jc w:val="center"/>
              <w:rPr>
                <w:rFonts w:hint="default" w:ascii="仿宋" w:hAnsi="仿宋" w:eastAsia="仿宋" w:cs="Courier New"/>
                <w:sz w:val="24"/>
              </w:rPr>
            </w:pPr>
            <w:r>
              <w:rPr>
                <w:rFonts w:hint="eastAsia" w:ascii="仿宋" w:hAnsi="仿宋" w:eastAsia="仿宋" w:cs="Courier New"/>
                <w:sz w:val="24"/>
              </w:rPr>
              <w:t>试验验证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00" w:lineRule="exact"/>
              <w:ind w:left="0" w:right="0"/>
              <w:jc w:val="center"/>
              <w:rPr>
                <w:rFonts w:hint="eastAsia" w:ascii="仿宋" w:hAnsi="仿宋" w:eastAsia="仿宋" w:cs="Courier New"/>
                <w:sz w:val="24"/>
              </w:rPr>
            </w:pPr>
            <w:r>
              <w:rPr>
                <w:rFonts w:hint="eastAsia" w:ascii="仿宋" w:hAnsi="仿宋" w:eastAsia="仿宋" w:cs="Courier New"/>
                <w:sz w:val="24"/>
              </w:rPr>
              <w:t>王红宁</w:t>
            </w:r>
          </w:p>
        </w:tc>
        <w:tc>
          <w:tcPr>
            <w:tcW w:w="993"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00" w:lineRule="exact"/>
              <w:ind w:left="0" w:right="0"/>
              <w:jc w:val="center"/>
              <w:rPr>
                <w:rFonts w:hint="eastAsia" w:ascii="仿宋" w:hAnsi="仿宋" w:eastAsia="仿宋" w:cs="Courier New"/>
                <w:sz w:val="24"/>
              </w:rPr>
            </w:pPr>
            <w:r>
              <w:rPr>
                <w:rFonts w:hint="eastAsia" w:ascii="仿宋" w:hAnsi="仿宋" w:eastAsia="仿宋" w:cs="Courier New"/>
                <w:sz w:val="24"/>
              </w:rPr>
              <w:t>女</w:t>
            </w:r>
          </w:p>
        </w:tc>
        <w:tc>
          <w:tcPr>
            <w:tcW w:w="1701"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00" w:lineRule="exact"/>
              <w:ind w:left="0" w:right="0"/>
              <w:jc w:val="center"/>
              <w:rPr>
                <w:rFonts w:hint="eastAsia" w:ascii="仿宋" w:hAnsi="仿宋" w:eastAsia="仿宋" w:cs="Courier New"/>
                <w:sz w:val="24"/>
              </w:rPr>
            </w:pPr>
            <w:r>
              <w:rPr>
                <w:rFonts w:hint="eastAsia" w:ascii="仿宋" w:hAnsi="仿宋" w:eastAsia="仿宋" w:cs="Courier New"/>
                <w:sz w:val="24"/>
              </w:rPr>
              <w:t>助理研究员</w:t>
            </w:r>
          </w:p>
        </w:tc>
        <w:tc>
          <w:tcPr>
            <w:tcW w:w="2693"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00" w:lineRule="exact"/>
              <w:ind w:left="0" w:right="0"/>
              <w:jc w:val="center"/>
              <w:rPr>
                <w:rFonts w:hint="default" w:ascii="仿宋" w:hAnsi="仿宋" w:eastAsia="仿宋" w:cs="Courier New"/>
                <w:sz w:val="24"/>
              </w:rPr>
            </w:pPr>
            <w:r>
              <w:rPr>
                <w:rFonts w:hint="eastAsia" w:ascii="仿宋" w:hAnsi="仿宋" w:eastAsia="仿宋" w:cs="Courier New"/>
                <w:sz w:val="24"/>
              </w:rPr>
              <w:t>山西农业大学</w:t>
            </w:r>
          </w:p>
        </w:tc>
        <w:tc>
          <w:tcPr>
            <w:tcW w:w="1893"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00" w:lineRule="exact"/>
              <w:ind w:left="0" w:right="0"/>
              <w:jc w:val="center"/>
              <w:rPr>
                <w:rFonts w:hint="eastAsia" w:ascii="仿宋" w:hAnsi="仿宋" w:eastAsia="仿宋" w:cs="Courier New"/>
                <w:sz w:val="24"/>
              </w:rPr>
            </w:pPr>
            <w:r>
              <w:rPr>
                <w:rFonts w:hint="eastAsia" w:ascii="仿宋" w:hAnsi="仿宋" w:eastAsia="仿宋" w:cs="Courier New"/>
                <w:sz w:val="24"/>
              </w:rPr>
              <w:t>现场调查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00" w:lineRule="exact"/>
              <w:ind w:left="0" w:right="0"/>
              <w:jc w:val="center"/>
              <w:rPr>
                <w:rFonts w:hint="eastAsia" w:ascii="仿宋" w:hAnsi="仿宋" w:eastAsia="仿宋" w:cs="Courier New"/>
                <w:sz w:val="24"/>
              </w:rPr>
            </w:pPr>
            <w:r>
              <w:rPr>
                <w:rFonts w:hint="eastAsia" w:ascii="仿宋" w:hAnsi="仿宋" w:eastAsia="仿宋" w:cs="Courier New"/>
                <w:sz w:val="24"/>
              </w:rPr>
              <w:t>李小平</w:t>
            </w:r>
          </w:p>
        </w:tc>
        <w:tc>
          <w:tcPr>
            <w:tcW w:w="993"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00" w:lineRule="exact"/>
              <w:ind w:left="0" w:right="0"/>
              <w:jc w:val="center"/>
              <w:rPr>
                <w:rFonts w:hint="eastAsia" w:ascii="仿宋" w:hAnsi="仿宋" w:eastAsia="仿宋" w:cs="Courier New"/>
                <w:sz w:val="24"/>
              </w:rPr>
            </w:pPr>
            <w:r>
              <w:rPr>
                <w:rFonts w:hint="eastAsia" w:ascii="仿宋" w:hAnsi="仿宋" w:eastAsia="仿宋" w:cs="Courier New"/>
                <w:sz w:val="24"/>
              </w:rPr>
              <w:t>男</w:t>
            </w:r>
          </w:p>
        </w:tc>
        <w:tc>
          <w:tcPr>
            <w:tcW w:w="1701"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00" w:lineRule="exact"/>
              <w:ind w:left="0" w:right="0"/>
              <w:jc w:val="center"/>
              <w:rPr>
                <w:rFonts w:hint="default" w:ascii="仿宋" w:hAnsi="仿宋" w:eastAsia="仿宋" w:cs="Courier New"/>
                <w:sz w:val="24"/>
              </w:rPr>
            </w:pPr>
            <w:r>
              <w:rPr>
                <w:rFonts w:hint="eastAsia" w:ascii="仿宋" w:hAnsi="仿宋" w:eastAsia="仿宋" w:cs="Courier New"/>
                <w:sz w:val="24"/>
              </w:rPr>
              <w:t>助理研究员</w:t>
            </w:r>
          </w:p>
        </w:tc>
        <w:tc>
          <w:tcPr>
            <w:tcW w:w="2693"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00" w:lineRule="exact"/>
              <w:ind w:left="0" w:right="0"/>
              <w:jc w:val="center"/>
              <w:rPr>
                <w:rFonts w:hint="default" w:ascii="仿宋" w:hAnsi="仿宋" w:eastAsia="仿宋" w:cs="Courier New"/>
                <w:sz w:val="24"/>
              </w:rPr>
            </w:pPr>
            <w:r>
              <w:rPr>
                <w:rFonts w:hint="eastAsia" w:ascii="仿宋" w:hAnsi="仿宋" w:eastAsia="仿宋" w:cs="Courier New"/>
                <w:sz w:val="24"/>
              </w:rPr>
              <w:t>山西农业大学</w:t>
            </w:r>
          </w:p>
        </w:tc>
        <w:tc>
          <w:tcPr>
            <w:tcW w:w="1893"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00" w:lineRule="exact"/>
              <w:ind w:left="0" w:right="0"/>
              <w:jc w:val="center"/>
              <w:rPr>
                <w:rFonts w:hint="eastAsia" w:ascii="仿宋" w:hAnsi="仿宋" w:eastAsia="仿宋" w:cs="Courier New"/>
                <w:sz w:val="24"/>
              </w:rPr>
            </w:pPr>
            <w:r>
              <w:rPr>
                <w:rFonts w:hint="eastAsia" w:ascii="仿宋" w:hAnsi="仿宋" w:eastAsia="仿宋" w:cs="Courier New"/>
                <w:sz w:val="24"/>
              </w:rPr>
              <w:t>试验验证</w:t>
            </w:r>
          </w:p>
        </w:tc>
      </w:tr>
    </w:tbl>
    <w:p>
      <w:pPr>
        <w:spacing w:line="360" w:lineRule="auto"/>
        <w:ind w:firstLine="480" w:firstLineChars="200"/>
        <w:outlineLvl w:val="0"/>
        <w:rPr>
          <w:rFonts w:hint="eastAsia" w:ascii="黑体" w:eastAsia="黑体"/>
          <w:sz w:val="24"/>
        </w:rPr>
      </w:pPr>
    </w:p>
    <w:p>
      <w:pPr>
        <w:spacing w:line="360" w:lineRule="auto"/>
        <w:ind w:firstLine="480" w:firstLineChars="200"/>
        <w:outlineLvl w:val="0"/>
        <w:rPr>
          <w:rFonts w:ascii="楷体" w:hAnsi="楷体" w:eastAsia="楷体" w:cs="Courier New"/>
          <w:sz w:val="28"/>
          <w:szCs w:val="28"/>
        </w:rPr>
      </w:pPr>
      <w:r>
        <w:rPr>
          <w:rFonts w:hint="eastAsia" w:ascii="黑体" w:eastAsia="黑体"/>
          <w:sz w:val="24"/>
        </w:rPr>
        <w:t>二、修订标准的必要性和意义</w:t>
      </w:r>
    </w:p>
    <w:p>
      <w:pPr>
        <w:spacing w:line="400" w:lineRule="exact"/>
        <w:ind w:firstLine="480" w:firstLineChars="200"/>
        <w:rPr>
          <w:rFonts w:hint="eastAsia" w:ascii="仿宋_GB2312" w:hAnsi="宋体" w:eastAsia="仿宋_GB2312"/>
          <w:sz w:val="24"/>
        </w:rPr>
      </w:pPr>
      <w:r>
        <w:rPr>
          <w:rFonts w:hint="eastAsia" w:ascii="仿宋_GB2312" w:hAnsi="宋体" w:eastAsia="仿宋_GB2312"/>
          <w:sz w:val="24"/>
        </w:rPr>
        <w:t>目前我省梨树产业发展势头较好，尤其是玉露香梨、丹霞红等新优品种近年来销售市场反应良好，急需建立以新品种、新树形为核心的梨树优质高效生产标准化技术，引领产业发展。</w:t>
      </w:r>
    </w:p>
    <w:p>
      <w:pPr>
        <w:spacing w:line="400" w:lineRule="exact"/>
        <w:ind w:firstLine="480" w:firstLineChars="200"/>
        <w:jc w:val="left"/>
        <w:rPr>
          <w:rFonts w:hint="eastAsia" w:ascii="仿宋_GB2312" w:hAnsi="宋体" w:eastAsia="仿宋_GB2312"/>
          <w:sz w:val="24"/>
        </w:rPr>
      </w:pPr>
      <w:r>
        <w:rPr>
          <w:rFonts w:hint="eastAsia" w:ascii="仿宋_GB2312" w:hAnsi="宋体" w:eastAsia="仿宋_GB2312"/>
          <w:sz w:val="24"/>
        </w:rPr>
        <w:t>梨树优质高效生产关键环节的新品种、新树形及优质高效生产技术的综合运用。2014年以来，在国家“十二五”科技支撑计划项目——“梨树优质高效生产关键技术的研究与示范”（山西农业大学为全国合作项目的主持单位）等研究项目支持下，课题组先后完成了梨树高光效开心树形整形修剪、丘陵旱作梨园优质高效标准化生产、梨树液体高效授粉技术等研究成果，并以此为基础于2018年制定了《梨树高光效树形建设技术规程》，为解决我省梨树生产上普遍存在的果园郁闭、树形模式紊乱问题找到了解决方案。</w:t>
      </w:r>
    </w:p>
    <w:p>
      <w:pPr>
        <w:spacing w:line="400" w:lineRule="exact"/>
        <w:ind w:firstLine="480" w:firstLineChars="200"/>
        <w:rPr>
          <w:rFonts w:hint="eastAsia" w:ascii="仿宋_GB2312" w:hAnsi="宋体" w:eastAsia="仿宋_GB2312"/>
          <w:sz w:val="24"/>
        </w:rPr>
      </w:pPr>
      <w:r>
        <w:rPr>
          <w:rFonts w:hint="eastAsia" w:ascii="仿宋_GB2312" w:hAnsi="宋体" w:eastAsia="仿宋_GB2312"/>
          <w:sz w:val="24"/>
        </w:rPr>
        <w:t>本标准发布6年以来，随着树龄的增加梨树高光效果园树冠体积在增大，叶幕微区光合有效辐射（PAR）在同步减少，因此需要对果园树形模式、动态密度等关键技术参数进行优化调整。同时，面对梨树优质高效生产技术的快速发展，需要增补梨树简约省力化栽培、优质安全生产、无损失采收等方面的技术内容，为山西省特色梨果提速增效提供技术支撑。</w:t>
      </w:r>
    </w:p>
    <w:p>
      <w:pPr>
        <w:spacing w:line="400" w:lineRule="exact"/>
        <w:ind w:firstLine="480" w:firstLineChars="200"/>
        <w:rPr>
          <w:rFonts w:hint="eastAsia" w:ascii="仿宋_GB2312" w:hAnsi="宋体" w:eastAsia="仿宋_GB2312"/>
          <w:sz w:val="24"/>
        </w:rPr>
      </w:pPr>
      <w:r>
        <w:rPr>
          <w:rFonts w:hint="eastAsia" w:ascii="仿宋_GB2312" w:hAnsi="宋体" w:eastAsia="仿宋_GB2312"/>
          <w:sz w:val="24"/>
        </w:rPr>
        <w:t>标准修订后，使得我省玉露香梨等新品种优质生产技术更加规范，更容易操作应用，梨树产量和品质进一步提升，进而提高优质果品的市场竞争力。</w:t>
      </w:r>
    </w:p>
    <w:p>
      <w:pPr>
        <w:spacing w:line="360" w:lineRule="auto"/>
        <w:ind w:firstLine="480" w:firstLineChars="200"/>
        <w:outlineLvl w:val="0"/>
        <w:rPr>
          <w:rFonts w:ascii="黑体" w:eastAsia="黑体"/>
          <w:sz w:val="24"/>
        </w:rPr>
      </w:pPr>
      <w:r>
        <w:rPr>
          <w:rFonts w:hint="eastAsia" w:ascii="黑体" w:eastAsia="黑体"/>
          <w:sz w:val="24"/>
        </w:rPr>
        <w:t>三、主要修订工作过程</w:t>
      </w:r>
    </w:p>
    <w:p>
      <w:pPr>
        <w:spacing w:line="400" w:lineRule="exact"/>
        <w:ind w:firstLine="480" w:firstLineChars="200"/>
        <w:rPr>
          <w:rFonts w:eastAsia="仿宋_GB2312"/>
          <w:bCs/>
          <w:sz w:val="24"/>
        </w:rPr>
      </w:pPr>
      <w:r>
        <w:rPr>
          <w:rFonts w:eastAsia="仿宋_GB2312"/>
          <w:bCs/>
          <w:sz w:val="24"/>
        </w:rPr>
        <w:t>1</w:t>
      </w:r>
      <w:r>
        <w:rPr>
          <w:rFonts w:hint="eastAsia" w:eastAsia="仿宋_GB2312"/>
          <w:bCs/>
          <w:sz w:val="24"/>
        </w:rPr>
        <w:t>、成立标准修订工作组</w:t>
      </w:r>
    </w:p>
    <w:p>
      <w:pPr>
        <w:spacing w:line="400" w:lineRule="exact"/>
        <w:ind w:firstLine="480" w:firstLineChars="200"/>
        <w:rPr>
          <w:rFonts w:eastAsia="仿宋_GB2312"/>
          <w:bCs/>
          <w:sz w:val="24"/>
        </w:rPr>
      </w:pPr>
      <w:r>
        <w:rPr>
          <w:rFonts w:eastAsia="仿宋_GB2312"/>
          <w:bCs/>
          <w:sz w:val="24"/>
        </w:rPr>
        <w:t>2022</w:t>
      </w:r>
      <w:r>
        <w:rPr>
          <w:rFonts w:hint="eastAsia" w:eastAsia="仿宋_GB2312"/>
          <w:bCs/>
          <w:sz w:val="24"/>
        </w:rPr>
        <w:t>年11</w:t>
      </w:r>
      <w:r>
        <w:rPr>
          <w:rFonts w:eastAsia="仿宋_GB2312"/>
          <w:bCs/>
          <w:sz w:val="24"/>
        </w:rPr>
        <w:t>-12</w:t>
      </w:r>
      <w:r>
        <w:rPr>
          <w:rFonts w:hint="eastAsia" w:eastAsia="仿宋_GB2312"/>
          <w:bCs/>
          <w:sz w:val="24"/>
        </w:rPr>
        <w:t>月，收到</w:t>
      </w:r>
      <w:r>
        <w:rPr>
          <w:rFonts w:hint="eastAsia" w:ascii="仿宋_GB2312" w:hAnsi="宋体" w:eastAsia="仿宋_GB2312"/>
          <w:sz w:val="24"/>
        </w:rPr>
        <w:t>山西省市场监督管理局关于</w:t>
      </w:r>
      <w:r>
        <w:rPr>
          <w:rFonts w:ascii="仿宋_GB2312" w:hAnsi="宋体" w:eastAsia="仿宋_GB2312"/>
          <w:sz w:val="24"/>
        </w:rPr>
        <w:t>2022</w:t>
      </w:r>
      <w:r>
        <w:rPr>
          <w:rFonts w:hint="eastAsia" w:ascii="仿宋_GB2312" w:hAnsi="宋体" w:eastAsia="仿宋_GB2312"/>
          <w:sz w:val="24"/>
        </w:rPr>
        <w:t>年度省级地方标准复审结论公告</w:t>
      </w:r>
      <w:r>
        <w:rPr>
          <w:rFonts w:hint="eastAsia" w:eastAsia="仿宋_GB2312"/>
          <w:bCs/>
          <w:sz w:val="24"/>
        </w:rPr>
        <w:t>的通知后，山西农业大学园艺学院果树优质高效生产科研团队成立了标准修订工作组。组织修订工作人员，制定了工作计划，在疫情期间采取线上</w:t>
      </w:r>
      <w:r>
        <w:rPr>
          <w:rFonts w:eastAsia="仿宋_GB2312"/>
          <w:bCs/>
          <w:sz w:val="24"/>
        </w:rPr>
        <w:t>+</w:t>
      </w:r>
      <w:r>
        <w:rPr>
          <w:rFonts w:hint="eastAsia" w:eastAsia="仿宋_GB2312"/>
          <w:bCs/>
          <w:sz w:val="24"/>
        </w:rPr>
        <w:t>线下的方式进行了及时沟通，保证了工作的顺利进行。</w:t>
      </w:r>
    </w:p>
    <w:p>
      <w:pPr>
        <w:spacing w:line="400" w:lineRule="exact"/>
        <w:ind w:firstLine="480" w:firstLineChars="200"/>
        <w:rPr>
          <w:rFonts w:eastAsia="仿宋_GB2312"/>
          <w:bCs/>
          <w:sz w:val="24"/>
        </w:rPr>
      </w:pPr>
      <w:r>
        <w:rPr>
          <w:rFonts w:eastAsia="仿宋_GB2312"/>
          <w:bCs/>
          <w:sz w:val="24"/>
        </w:rPr>
        <w:t>2</w:t>
      </w:r>
      <w:r>
        <w:rPr>
          <w:rFonts w:hint="eastAsia" w:eastAsia="仿宋_GB2312"/>
          <w:bCs/>
          <w:sz w:val="24"/>
        </w:rPr>
        <w:t>、调研考察</w:t>
      </w:r>
    </w:p>
    <w:p>
      <w:pPr>
        <w:spacing w:line="400" w:lineRule="exact"/>
        <w:ind w:firstLine="480" w:firstLineChars="200"/>
        <w:rPr>
          <w:rFonts w:eastAsia="仿宋_GB2312"/>
          <w:bCs/>
          <w:sz w:val="24"/>
        </w:rPr>
      </w:pPr>
      <w:r>
        <w:rPr>
          <w:rFonts w:eastAsia="仿宋_GB2312"/>
          <w:bCs/>
          <w:sz w:val="24"/>
        </w:rPr>
        <w:t>2023</w:t>
      </w:r>
      <w:r>
        <w:rPr>
          <w:rFonts w:hint="eastAsia" w:eastAsia="仿宋_GB2312"/>
          <w:bCs/>
          <w:sz w:val="24"/>
        </w:rPr>
        <w:t>年2</w:t>
      </w:r>
      <w:r>
        <w:rPr>
          <w:rFonts w:eastAsia="仿宋_GB2312"/>
          <w:bCs/>
          <w:sz w:val="24"/>
        </w:rPr>
        <w:t>-</w:t>
      </w:r>
      <w:r>
        <w:rPr>
          <w:rFonts w:hint="eastAsia" w:eastAsia="仿宋_GB2312"/>
          <w:bCs/>
          <w:sz w:val="24"/>
        </w:rPr>
        <w:t>4月，科研团队在梨树冬季修剪和花果管理关键时期，对我省隰县、分析、运城市盐湖区、平遥县、原平市等地梨树基地合作社与骨干企业、科技人员和重点农户进行了生产情况进行调研，了解各地梨树高光效果园建设的基地存在问题、技术需求及管理经验，获得了果园建设的第一手资料。</w:t>
      </w:r>
    </w:p>
    <w:p>
      <w:pPr>
        <w:spacing w:line="400" w:lineRule="exact"/>
        <w:ind w:firstLine="480" w:firstLineChars="200"/>
        <w:rPr>
          <w:rFonts w:eastAsia="仿宋_GB2312"/>
          <w:bCs/>
          <w:sz w:val="24"/>
        </w:rPr>
      </w:pPr>
      <w:r>
        <w:rPr>
          <w:rFonts w:eastAsia="仿宋_GB2312"/>
          <w:bCs/>
          <w:sz w:val="24"/>
        </w:rPr>
        <w:t>3</w:t>
      </w:r>
      <w:r>
        <w:rPr>
          <w:rFonts w:hint="eastAsia" w:eastAsia="仿宋_GB2312"/>
          <w:bCs/>
          <w:sz w:val="24"/>
        </w:rPr>
        <w:t>、收集资料</w:t>
      </w:r>
    </w:p>
    <w:p>
      <w:pPr>
        <w:spacing w:line="400" w:lineRule="exact"/>
        <w:ind w:firstLine="480" w:firstLineChars="200"/>
        <w:jc w:val="left"/>
        <w:rPr>
          <w:rFonts w:ascii="仿宋_GB2312" w:hAnsi="宋体" w:eastAsia="仿宋_GB2312"/>
          <w:sz w:val="24"/>
        </w:rPr>
      </w:pPr>
      <w:r>
        <w:rPr>
          <w:rFonts w:eastAsia="仿宋_GB2312"/>
          <w:bCs/>
          <w:sz w:val="24"/>
        </w:rPr>
        <w:t>2023</w:t>
      </w:r>
      <w:r>
        <w:rPr>
          <w:rFonts w:hint="eastAsia" w:eastAsia="仿宋_GB2312"/>
          <w:bCs/>
          <w:sz w:val="24"/>
        </w:rPr>
        <w:t>年5-6月，标准修订课题组查阅了梨树果高光效果园建设相关的国家标准、行业标准以及省级地方标准。收集了高效果园建设相关研究成果、技术书籍和研究论文，</w:t>
      </w:r>
      <w:r>
        <w:rPr>
          <w:rFonts w:hint="eastAsia" w:ascii="仿宋_GB2312" w:hAnsi="宋体" w:eastAsia="仿宋_GB2312"/>
          <w:sz w:val="24"/>
        </w:rPr>
        <w:t>结合山西苹果优质高效生产的技术特点，并参考团队近年来的研究结果，进行了资料分析和技术总结，</w:t>
      </w:r>
      <w:r>
        <w:rPr>
          <w:rFonts w:hint="eastAsia" w:eastAsia="仿宋_GB2312"/>
          <w:bCs/>
          <w:sz w:val="24"/>
        </w:rPr>
        <w:t>为本标准修订提供实际参考。</w:t>
      </w:r>
    </w:p>
    <w:p>
      <w:pPr>
        <w:spacing w:line="400" w:lineRule="exact"/>
        <w:ind w:firstLine="480" w:firstLineChars="200"/>
        <w:rPr>
          <w:rFonts w:eastAsia="仿宋_GB2312"/>
          <w:bCs/>
          <w:sz w:val="24"/>
        </w:rPr>
      </w:pPr>
      <w:r>
        <w:rPr>
          <w:rFonts w:eastAsia="仿宋_GB2312"/>
          <w:bCs/>
          <w:sz w:val="24"/>
        </w:rPr>
        <w:t>4</w:t>
      </w:r>
      <w:r>
        <w:rPr>
          <w:rFonts w:hint="eastAsia" w:eastAsia="仿宋_GB2312"/>
          <w:bCs/>
          <w:sz w:val="24"/>
        </w:rPr>
        <w:t>、修订文本</w:t>
      </w:r>
    </w:p>
    <w:p>
      <w:pPr>
        <w:spacing w:line="400" w:lineRule="exact"/>
        <w:ind w:firstLine="480" w:firstLineChars="200"/>
        <w:rPr>
          <w:rFonts w:eastAsia="仿宋_GB2312"/>
          <w:bCs/>
          <w:sz w:val="24"/>
        </w:rPr>
      </w:pPr>
      <w:r>
        <w:rPr>
          <w:rFonts w:hint="eastAsia" w:eastAsia="仿宋_GB2312"/>
          <w:bCs/>
          <w:sz w:val="24"/>
        </w:rPr>
        <w:t>工作组于</w:t>
      </w:r>
      <w:r>
        <w:rPr>
          <w:rFonts w:eastAsia="仿宋_GB2312"/>
          <w:bCs/>
          <w:sz w:val="24"/>
        </w:rPr>
        <w:t>2023</w:t>
      </w:r>
      <w:r>
        <w:rPr>
          <w:rFonts w:hint="eastAsia" w:eastAsia="仿宋_GB2312"/>
          <w:bCs/>
          <w:sz w:val="24"/>
        </w:rPr>
        <w:t>年7月修订了《梨树高光效果园建设技术规程》文本框架，随后通过发放电子版文本材料、专家咨询座谈、果园现场技术交流验证等途径，征集了各领域专业人士的修改意见和建议，完成了本标准文本的修订稿。</w:t>
      </w:r>
      <w:r>
        <w:rPr>
          <w:rFonts w:hint="eastAsia" w:ascii="仿宋_GB2312" w:hAnsi="宋体" w:eastAsia="仿宋_GB2312"/>
          <w:sz w:val="24"/>
        </w:rPr>
        <w:t>发送“征求意见稿”的单位5个</w:t>
      </w:r>
      <w:r>
        <w:rPr>
          <w:rFonts w:hint="eastAsia" w:ascii="仿宋_GB2312" w:hAnsi="宋体" w:eastAsia="仿宋_GB2312"/>
          <w:sz w:val="24"/>
          <w:lang w:eastAsia="zh-CN"/>
        </w:rPr>
        <w:t>，</w:t>
      </w:r>
      <w:r>
        <w:rPr>
          <w:rFonts w:hint="eastAsia" w:ascii="仿宋_GB2312" w:hAnsi="宋体" w:eastAsia="仿宋_GB2312"/>
          <w:sz w:val="24"/>
        </w:rPr>
        <w:t>收到“征求意见稿”后，回函并提出意见的单位5个</w:t>
      </w:r>
      <w:r>
        <w:rPr>
          <w:rFonts w:hint="eastAsia" w:ascii="仿宋_GB2312" w:hAnsi="宋体" w:eastAsia="仿宋_GB2312"/>
          <w:sz w:val="24"/>
          <w:lang w:eastAsia="zh-CN"/>
        </w:rPr>
        <w:t>，</w:t>
      </w:r>
      <w:r>
        <w:rPr>
          <w:rFonts w:hint="eastAsia" w:ascii="仿宋_GB2312" w:hAnsi="宋体" w:eastAsia="仿宋_GB2312"/>
          <w:sz w:val="24"/>
        </w:rPr>
        <w:t>没有回函的单位数</w:t>
      </w:r>
      <w:r>
        <w:rPr>
          <w:rFonts w:ascii="仿宋_GB2312" w:hAnsi="宋体" w:eastAsia="仿宋_GB2312"/>
          <w:sz w:val="24"/>
        </w:rPr>
        <w:t>0</w:t>
      </w:r>
      <w:r>
        <w:rPr>
          <w:rFonts w:hint="eastAsia" w:ascii="仿宋_GB2312" w:hAnsi="宋体" w:eastAsia="仿宋_GB2312"/>
          <w:sz w:val="24"/>
        </w:rPr>
        <w:t>个。收到征求意见</w:t>
      </w:r>
      <w:r>
        <w:rPr>
          <w:rFonts w:hint="eastAsia" w:ascii="仿宋_GB2312" w:hAnsi="宋体" w:eastAsia="仿宋_GB2312"/>
          <w:sz w:val="24"/>
          <w:lang w:val="en-US" w:eastAsia="zh-CN"/>
        </w:rPr>
        <w:t>5</w:t>
      </w:r>
      <w:r>
        <w:rPr>
          <w:rFonts w:hint="eastAsia" w:ascii="仿宋_GB2312" w:hAnsi="宋体" w:eastAsia="仿宋_GB2312"/>
          <w:sz w:val="24"/>
        </w:rPr>
        <w:t>条，采纳</w:t>
      </w:r>
      <w:r>
        <w:rPr>
          <w:rFonts w:hint="eastAsia" w:ascii="仿宋_GB2312" w:hAnsi="宋体" w:eastAsia="仿宋_GB2312"/>
          <w:sz w:val="24"/>
          <w:lang w:val="en-US" w:eastAsia="zh-CN"/>
        </w:rPr>
        <w:t>5</w:t>
      </w:r>
      <w:r>
        <w:rPr>
          <w:rFonts w:hint="eastAsia" w:ascii="仿宋_GB2312" w:hAnsi="宋体" w:eastAsia="仿宋_GB2312"/>
          <w:sz w:val="24"/>
        </w:rPr>
        <w:t>条。</w:t>
      </w:r>
    </w:p>
    <w:p>
      <w:pPr>
        <w:spacing w:line="400" w:lineRule="exact"/>
        <w:ind w:firstLine="480" w:firstLineChars="200"/>
        <w:rPr>
          <w:rFonts w:hint="default" w:eastAsia="仿宋_GB2312"/>
          <w:bCs/>
          <w:sz w:val="24"/>
          <w:lang w:val="en-US" w:eastAsia="zh-CN"/>
        </w:rPr>
      </w:pPr>
      <w:r>
        <w:rPr>
          <w:rFonts w:eastAsia="仿宋_GB2312"/>
          <w:bCs/>
          <w:sz w:val="24"/>
        </w:rPr>
        <w:t>5</w:t>
      </w:r>
      <w:r>
        <w:rPr>
          <w:rFonts w:hint="eastAsia" w:eastAsia="仿宋_GB2312"/>
          <w:bCs/>
          <w:sz w:val="24"/>
        </w:rPr>
        <w:t>、</w:t>
      </w:r>
      <w:r>
        <w:rPr>
          <w:rFonts w:hint="eastAsia" w:eastAsia="仿宋_GB2312"/>
          <w:bCs/>
          <w:sz w:val="24"/>
          <w:lang w:val="en-US" w:eastAsia="zh-CN"/>
        </w:rPr>
        <w:t>标准审查</w:t>
      </w:r>
    </w:p>
    <w:p>
      <w:pPr>
        <w:spacing w:line="400" w:lineRule="exact"/>
        <w:ind w:firstLine="480" w:firstLineChars="200"/>
        <w:rPr>
          <w:rFonts w:eastAsia="仿宋_GB2312"/>
          <w:bCs/>
          <w:sz w:val="24"/>
        </w:rPr>
      </w:pPr>
      <w:r>
        <w:rPr>
          <w:rFonts w:eastAsia="仿宋_GB2312"/>
          <w:bCs/>
          <w:sz w:val="24"/>
        </w:rPr>
        <w:t>2024</w:t>
      </w:r>
      <w:r>
        <w:rPr>
          <w:rFonts w:hint="eastAsia" w:eastAsia="仿宋_GB2312"/>
          <w:bCs/>
          <w:sz w:val="24"/>
        </w:rPr>
        <w:t>年</w:t>
      </w:r>
      <w:r>
        <w:rPr>
          <w:rFonts w:hint="eastAsia" w:eastAsia="仿宋_GB2312"/>
          <w:bCs/>
          <w:sz w:val="24"/>
          <w:lang w:val="en-US" w:eastAsia="zh-CN"/>
        </w:rPr>
        <w:t>3</w:t>
      </w:r>
      <w:r>
        <w:rPr>
          <w:rFonts w:hint="eastAsia" w:eastAsia="仿宋_GB2312"/>
          <w:bCs/>
          <w:sz w:val="24"/>
        </w:rPr>
        <w:t>月</w:t>
      </w:r>
      <w:r>
        <w:rPr>
          <w:rFonts w:hint="eastAsia" w:eastAsia="仿宋_GB2312"/>
          <w:bCs/>
          <w:sz w:val="24"/>
          <w:lang w:val="en-US" w:eastAsia="zh-CN"/>
        </w:rPr>
        <w:t>16</w:t>
      </w:r>
      <w:r>
        <w:rPr>
          <w:rFonts w:hint="eastAsia" w:eastAsia="仿宋_GB2312"/>
          <w:bCs/>
          <w:sz w:val="24"/>
        </w:rPr>
        <w:t>日，在</w:t>
      </w:r>
      <w:r>
        <w:rPr>
          <w:rFonts w:hint="eastAsia" w:eastAsia="仿宋_GB2312"/>
          <w:bCs/>
          <w:sz w:val="24"/>
          <w:lang w:val="en-US" w:eastAsia="zh-CN"/>
        </w:rPr>
        <w:t>山西农业大学龙城校区果树研究所二</w:t>
      </w:r>
      <w:r>
        <w:rPr>
          <w:rFonts w:hint="eastAsia" w:eastAsia="仿宋_GB2312"/>
          <w:bCs/>
          <w:sz w:val="24"/>
        </w:rPr>
        <w:t>层会议室，与会专家听取了起草单位对《高光效梨园</w:t>
      </w:r>
      <w:r>
        <w:rPr>
          <w:rFonts w:hint="eastAsia" w:eastAsia="仿宋_GB2312"/>
          <w:bCs/>
          <w:sz w:val="24"/>
          <w:lang w:val="en-US" w:eastAsia="zh-CN"/>
        </w:rPr>
        <w:t>生产</w:t>
      </w:r>
      <w:r>
        <w:rPr>
          <w:rFonts w:hint="eastAsia" w:eastAsia="仿宋_GB2312"/>
          <w:bCs/>
          <w:sz w:val="24"/>
        </w:rPr>
        <w:t>技术规程》的修订情况汇报，并对标准送审稿和编制说明进行了</w:t>
      </w:r>
      <w:r>
        <w:rPr>
          <w:rFonts w:hint="eastAsia" w:eastAsia="仿宋_GB2312"/>
          <w:bCs/>
          <w:sz w:val="24"/>
          <w:lang w:val="en-US" w:eastAsia="zh-CN"/>
        </w:rPr>
        <w:t>标准审查</w:t>
      </w:r>
      <w:r>
        <w:rPr>
          <w:rFonts w:hint="eastAsia" w:eastAsia="仿宋_GB2312"/>
          <w:bCs/>
          <w:sz w:val="24"/>
        </w:rPr>
        <w:t>。</w:t>
      </w:r>
    </w:p>
    <w:p>
      <w:pPr>
        <w:spacing w:line="400" w:lineRule="exact"/>
        <w:ind w:firstLine="480" w:firstLineChars="200"/>
        <w:rPr>
          <w:rFonts w:hint="eastAsia" w:eastAsia="仿宋_GB2312"/>
          <w:bCs/>
          <w:sz w:val="24"/>
        </w:rPr>
      </w:pPr>
      <w:r>
        <w:rPr>
          <w:rFonts w:hint="eastAsia" w:eastAsia="仿宋_GB2312"/>
          <w:bCs/>
          <w:sz w:val="24"/>
        </w:rPr>
        <w:t>专家组同意通过技术评审，起草单位按照专家组意见修改完善，形成报批稿。</w:t>
      </w:r>
    </w:p>
    <w:p>
      <w:pPr>
        <w:spacing w:line="400" w:lineRule="exact"/>
        <w:ind w:firstLine="480" w:firstLineChars="200"/>
        <w:rPr>
          <w:rFonts w:hint="eastAsia" w:eastAsia="仿宋_GB2312"/>
          <w:bCs/>
          <w:color w:val="auto"/>
          <w:sz w:val="24"/>
          <w:lang w:val="en-US" w:eastAsia="zh-CN"/>
        </w:rPr>
      </w:pPr>
      <w:r>
        <w:rPr>
          <w:rFonts w:hint="eastAsia" w:eastAsia="仿宋_GB2312"/>
          <w:bCs/>
          <w:color w:val="auto"/>
          <w:sz w:val="24"/>
          <w:lang w:val="en-US" w:eastAsia="zh-CN"/>
        </w:rPr>
        <w:t>6、征求意见</w:t>
      </w:r>
      <w:bookmarkStart w:id="0" w:name="_GoBack"/>
      <w:bookmarkEnd w:id="0"/>
    </w:p>
    <w:p>
      <w:pPr>
        <w:spacing w:line="400" w:lineRule="exact"/>
        <w:ind w:firstLine="480" w:firstLineChars="200"/>
        <w:rPr>
          <w:rFonts w:hint="eastAsia" w:eastAsia="仿宋_GB2312"/>
          <w:bCs/>
          <w:color w:val="auto"/>
          <w:sz w:val="24"/>
          <w:lang w:val="en-US" w:eastAsia="zh-CN"/>
        </w:rPr>
      </w:pPr>
      <w:r>
        <w:rPr>
          <w:rFonts w:hint="eastAsia" w:eastAsia="仿宋_GB2312"/>
          <w:bCs/>
          <w:color w:val="auto"/>
          <w:sz w:val="24"/>
          <w:lang w:val="en-US" w:eastAsia="zh-CN"/>
        </w:rPr>
        <w:t>2024年XX月XX日报省市场监督管理局挂网向社会公开征求意见30天。</w:t>
      </w:r>
    </w:p>
    <w:p>
      <w:pPr>
        <w:spacing w:line="400" w:lineRule="exact"/>
        <w:ind w:firstLine="480" w:firstLineChars="200"/>
        <w:rPr>
          <w:rFonts w:hint="default" w:eastAsia="仿宋_GB2312"/>
          <w:bCs/>
          <w:color w:val="auto"/>
          <w:sz w:val="24"/>
          <w:lang w:val="en-US" w:eastAsia="zh-CN"/>
        </w:rPr>
      </w:pPr>
      <w:r>
        <w:rPr>
          <w:rFonts w:hint="eastAsia" w:eastAsia="仿宋_GB2312"/>
          <w:bCs/>
          <w:color w:val="auto"/>
          <w:sz w:val="24"/>
          <w:lang w:val="en-US" w:eastAsia="zh-CN"/>
        </w:rPr>
        <w:t>7、完善文本</w:t>
      </w:r>
    </w:p>
    <w:p>
      <w:pPr>
        <w:spacing w:line="400" w:lineRule="exact"/>
        <w:ind w:firstLine="480" w:firstLineChars="200"/>
        <w:rPr>
          <w:rFonts w:hint="eastAsia" w:eastAsia="仿宋_GB2312"/>
          <w:bCs/>
          <w:color w:val="auto"/>
          <w:sz w:val="24"/>
          <w:lang w:val="en-US" w:eastAsia="zh-CN"/>
        </w:rPr>
      </w:pPr>
      <w:r>
        <w:rPr>
          <w:rFonts w:hint="eastAsia" w:eastAsia="仿宋_GB2312"/>
          <w:bCs/>
          <w:color w:val="auto"/>
          <w:sz w:val="24"/>
          <w:lang w:val="en-US" w:eastAsia="zh-CN"/>
        </w:rPr>
        <w:t>进一步修改完善后形成标准送审稿，标委会表决通过，形成报批稿、提交报批材料。</w:t>
      </w:r>
    </w:p>
    <w:p>
      <w:pPr>
        <w:spacing w:line="400" w:lineRule="exact"/>
        <w:rPr>
          <w:rFonts w:hint="eastAsia" w:ascii="黑体" w:eastAsia="黑体"/>
          <w:sz w:val="24"/>
        </w:rPr>
      </w:pPr>
    </w:p>
    <w:p>
      <w:pPr>
        <w:spacing w:line="400" w:lineRule="exact"/>
        <w:ind w:firstLine="480" w:firstLineChars="200"/>
        <w:rPr>
          <w:rFonts w:ascii="黑体" w:eastAsia="黑体"/>
          <w:sz w:val="24"/>
        </w:rPr>
      </w:pPr>
      <w:r>
        <w:rPr>
          <w:rFonts w:hint="eastAsia" w:ascii="黑体" w:eastAsia="黑体"/>
          <w:sz w:val="24"/>
        </w:rPr>
        <w:t>四、修订标准的原则和依据，与现行法律、法规、标准的关系</w:t>
      </w:r>
    </w:p>
    <w:p>
      <w:pPr>
        <w:spacing w:line="400" w:lineRule="exact"/>
        <w:ind w:firstLine="480" w:firstLineChars="200"/>
        <w:rPr>
          <w:rFonts w:eastAsia="仿宋_GB2312"/>
          <w:bCs/>
          <w:sz w:val="24"/>
        </w:rPr>
      </w:pPr>
      <w:r>
        <w:rPr>
          <w:rFonts w:hint="eastAsia" w:eastAsia="仿宋_GB2312"/>
          <w:bCs/>
          <w:sz w:val="24"/>
        </w:rPr>
        <w:t>本标准严格按照《中华人民共和国标准法》、《中华人民共和国农业法》、《中华人民共和国农业技术推广法》等有关法律和质量技术监督局《农业标准化管理办法》、山西省地方标准《技术审查工作规范》等规章执行。本标准根据</w:t>
      </w:r>
      <w:r>
        <w:rPr>
          <w:rFonts w:eastAsia="仿宋_GB2312"/>
          <w:bCs/>
          <w:sz w:val="24"/>
        </w:rPr>
        <w:t>GB/T 1.1—2020</w:t>
      </w:r>
      <w:r>
        <w:rPr>
          <w:rFonts w:hint="eastAsia" w:eastAsia="仿宋_GB2312"/>
          <w:bCs/>
          <w:sz w:val="24"/>
        </w:rPr>
        <w:t>《标准化工作导则</w:t>
      </w:r>
      <w:r>
        <w:rPr>
          <w:rFonts w:eastAsia="仿宋_GB2312"/>
          <w:bCs/>
          <w:sz w:val="24"/>
        </w:rPr>
        <w:t xml:space="preserve">  </w:t>
      </w:r>
      <w:r>
        <w:rPr>
          <w:rFonts w:hint="eastAsia" w:eastAsia="仿宋_GB2312"/>
          <w:bCs/>
          <w:sz w:val="24"/>
        </w:rPr>
        <w:t>第</w:t>
      </w:r>
      <w:r>
        <w:rPr>
          <w:rFonts w:eastAsia="仿宋_GB2312"/>
          <w:bCs/>
          <w:sz w:val="24"/>
        </w:rPr>
        <w:t>1</w:t>
      </w:r>
      <w:r>
        <w:rPr>
          <w:rFonts w:hint="eastAsia" w:eastAsia="仿宋_GB2312"/>
          <w:bCs/>
          <w:sz w:val="24"/>
        </w:rPr>
        <w:t>部分：标准化文件的结构和起草规则》的规定起草，内容和要求参照了相关法律规则，引用了现行的国家标准和行业标准，与现行法律、法规及强制标准没有冲突。</w:t>
      </w:r>
    </w:p>
    <w:p>
      <w:pPr>
        <w:numPr>
          <w:ilvl w:val="0"/>
          <w:numId w:val="2"/>
        </w:numPr>
        <w:spacing w:line="360" w:lineRule="auto"/>
        <w:ind w:firstLine="480" w:firstLineChars="200"/>
        <w:outlineLvl w:val="0"/>
        <w:rPr>
          <w:rFonts w:hint="eastAsia" w:ascii="黑体" w:eastAsia="黑体"/>
          <w:sz w:val="24"/>
        </w:rPr>
      </w:pPr>
      <w:r>
        <w:rPr>
          <w:rFonts w:hint="eastAsia" w:ascii="黑体" w:eastAsia="黑体"/>
          <w:sz w:val="24"/>
        </w:rPr>
        <w:t>主要条款的说明，主要技术指标、参数、试验验证的分析、综合论述</w:t>
      </w:r>
    </w:p>
    <w:p>
      <w:pPr>
        <w:spacing w:line="400" w:lineRule="exact"/>
        <w:ind w:firstLine="480" w:firstLineChars="200"/>
        <w:rPr>
          <w:rFonts w:hint="eastAsia" w:eastAsia="仿宋_GB2312"/>
          <w:bCs/>
          <w:sz w:val="24"/>
          <w:lang w:eastAsia="zh-CN"/>
        </w:rPr>
      </w:pPr>
      <w:r>
        <w:rPr>
          <w:rFonts w:hint="eastAsia" w:eastAsia="仿宋_GB2312"/>
          <w:bCs/>
          <w:sz w:val="24"/>
          <w:lang w:eastAsia="zh-CN"/>
        </w:rPr>
        <w:t>标准起草组以“合法性、安全性、适应性、协调性和先进性”为修订原则，以文本结构更加合理、表述更加准确、技术指标更加科学为修订目标，从</w:t>
      </w:r>
      <w:r>
        <w:rPr>
          <w:rFonts w:hint="eastAsia" w:eastAsia="仿宋_GB2312"/>
          <w:bCs/>
          <w:sz w:val="24"/>
          <w:lang w:val="en-US" w:eastAsia="zh-CN"/>
        </w:rPr>
        <w:t>三</w:t>
      </w:r>
      <w:r>
        <w:rPr>
          <w:rFonts w:hint="eastAsia" w:eastAsia="仿宋_GB2312"/>
          <w:bCs/>
          <w:sz w:val="24"/>
          <w:lang w:eastAsia="zh-CN"/>
        </w:rPr>
        <w:t>个方面对文本进行了修订，其中：</w:t>
      </w:r>
    </w:p>
    <w:p>
      <w:pPr>
        <w:spacing w:line="400" w:lineRule="exact"/>
        <w:ind w:firstLine="480" w:firstLineChars="200"/>
        <w:rPr>
          <w:rFonts w:hint="eastAsia" w:eastAsia="仿宋_GB2312"/>
          <w:bCs/>
          <w:sz w:val="24"/>
          <w:lang w:val="en-US" w:eastAsia="zh-CN"/>
        </w:rPr>
      </w:pPr>
      <w:r>
        <w:rPr>
          <w:rFonts w:hint="eastAsia" w:eastAsia="仿宋_GB2312"/>
          <w:bCs/>
          <w:sz w:val="24"/>
          <w:lang w:val="en-US" w:eastAsia="zh-CN"/>
        </w:rPr>
        <w:t>1、</w:t>
      </w:r>
      <w:r>
        <w:rPr>
          <w:rFonts w:hint="eastAsia" w:eastAsia="仿宋_GB2312"/>
          <w:bCs/>
          <w:sz w:val="24"/>
          <w:lang w:eastAsia="zh-CN"/>
        </w:rPr>
        <w:t>涉及结构性调整的主要有</w:t>
      </w:r>
      <w:r>
        <w:rPr>
          <w:rFonts w:hint="eastAsia" w:eastAsia="仿宋_GB2312"/>
          <w:bCs/>
          <w:sz w:val="24"/>
          <w:lang w:val="en-US" w:eastAsia="zh-CN"/>
        </w:rPr>
        <w:t>4项：</w:t>
      </w:r>
    </w:p>
    <w:p>
      <w:pPr>
        <w:spacing w:line="400" w:lineRule="exact"/>
        <w:ind w:firstLine="480" w:firstLineChars="200"/>
        <w:rPr>
          <w:rFonts w:hint="eastAsia" w:eastAsia="仿宋_GB2312"/>
          <w:bCs/>
          <w:sz w:val="24"/>
          <w:lang w:val="en-US" w:eastAsia="zh-CN"/>
        </w:rPr>
      </w:pPr>
      <w:r>
        <w:rPr>
          <w:rFonts w:hint="eastAsia" w:eastAsia="仿宋_GB2312"/>
          <w:bCs/>
          <w:sz w:val="24"/>
          <w:lang w:val="en-US" w:eastAsia="zh-CN"/>
        </w:rPr>
        <w:t>（1）删除了第5章5.2“砧木选择”中“一般要求”内容，修订原因：经征求意见与现场修订专家讨论，删除非必要的解释，不影响标准中提到的砧木及品种的选择。</w:t>
      </w:r>
    </w:p>
    <w:p>
      <w:pPr>
        <w:spacing w:line="400" w:lineRule="exact"/>
        <w:ind w:firstLine="480" w:firstLineChars="200"/>
        <w:rPr>
          <w:rFonts w:hint="eastAsia" w:eastAsia="仿宋_GB2312"/>
          <w:bCs/>
          <w:sz w:val="24"/>
          <w:lang w:val="en-US" w:eastAsia="zh-CN"/>
        </w:rPr>
      </w:pPr>
      <w:r>
        <w:rPr>
          <w:rFonts w:hint="eastAsia" w:eastAsia="仿宋_GB2312"/>
          <w:bCs/>
          <w:sz w:val="24"/>
          <w:lang w:val="en-US" w:eastAsia="zh-CN"/>
        </w:rPr>
        <w:t>（2）合并</w:t>
      </w:r>
      <w:r>
        <w:rPr>
          <w:rFonts w:hint="eastAsia" w:eastAsia="仿宋_GB2312"/>
          <w:bCs/>
          <w:sz w:val="24"/>
          <w:lang w:eastAsia="zh-CN"/>
        </w:rPr>
        <w:t>了</w:t>
      </w:r>
      <w:r>
        <w:rPr>
          <w:rFonts w:hint="eastAsia" w:eastAsia="仿宋_GB2312"/>
          <w:bCs/>
          <w:sz w:val="24"/>
          <w:lang w:val="en-US" w:eastAsia="zh-CN"/>
        </w:rPr>
        <w:t>“整形修剪”内容。修订原因：将第7章“树形模式”和第8章“整形修剪”的内容，合并为“整形修剪”一个章节，内容更加精炼。</w:t>
      </w:r>
    </w:p>
    <w:p>
      <w:pPr>
        <w:spacing w:line="400" w:lineRule="exact"/>
        <w:ind w:firstLine="480" w:firstLineChars="200"/>
        <w:rPr>
          <w:rFonts w:hint="eastAsia" w:eastAsia="仿宋_GB2312"/>
          <w:bCs/>
          <w:sz w:val="24"/>
          <w:lang w:val="en-US" w:eastAsia="zh-CN"/>
        </w:rPr>
      </w:pPr>
      <w:r>
        <w:rPr>
          <w:rFonts w:hint="eastAsia" w:eastAsia="仿宋_GB2312"/>
          <w:bCs/>
          <w:sz w:val="24"/>
          <w:lang w:val="en-US" w:eastAsia="zh-CN"/>
        </w:rPr>
        <w:t>（3）删除了“树形模式</w:t>
      </w:r>
      <w:r>
        <w:rPr>
          <w:rFonts w:hint="default" w:eastAsia="仿宋_GB2312"/>
          <w:bCs/>
          <w:sz w:val="24"/>
          <w:lang w:val="en-US" w:eastAsia="zh-CN"/>
        </w:rPr>
        <w:t xml:space="preserve"> </w:t>
      </w:r>
      <w:r>
        <w:rPr>
          <w:rFonts w:hint="eastAsia" w:eastAsia="仿宋_GB2312"/>
          <w:bCs/>
          <w:sz w:val="24"/>
          <w:lang w:val="en-US" w:eastAsia="zh-CN"/>
        </w:rPr>
        <w:t>”中</w:t>
      </w:r>
      <w:r>
        <w:rPr>
          <w:rFonts w:hint="default" w:eastAsia="仿宋_GB2312"/>
          <w:bCs/>
          <w:sz w:val="24"/>
          <w:lang w:val="en-US" w:eastAsia="zh-CN"/>
        </w:rPr>
        <w:t xml:space="preserve"> </w:t>
      </w:r>
      <w:r>
        <w:rPr>
          <w:rFonts w:hint="eastAsia" w:eastAsia="仿宋_GB2312"/>
          <w:bCs/>
          <w:sz w:val="24"/>
          <w:lang w:val="en-US" w:eastAsia="zh-CN"/>
        </w:rPr>
        <w:t>“一般要求”的内容，修订原因：删除不必要的解释，不影响标准中提到的树形模式技术指标内容。</w:t>
      </w:r>
    </w:p>
    <w:p>
      <w:pPr>
        <w:spacing w:line="400" w:lineRule="exact"/>
        <w:ind w:firstLine="480" w:firstLineChars="200"/>
        <w:rPr>
          <w:rFonts w:hint="default" w:eastAsia="仿宋_GB2312"/>
          <w:bCs/>
          <w:sz w:val="24"/>
          <w:lang w:val="en-US" w:eastAsia="zh-CN"/>
        </w:rPr>
      </w:pPr>
      <w:r>
        <w:rPr>
          <w:rFonts w:hint="eastAsia" w:eastAsia="仿宋_GB2312"/>
          <w:bCs/>
          <w:sz w:val="24"/>
          <w:lang w:val="en-US" w:eastAsia="zh-CN"/>
        </w:rPr>
        <w:t>（4）增加了“花果管理”中“减少采收机械损伤”的内容，修订原因：由于梨果采收在实际操作过程中容易产生机械损伤，降低了果品的商品率。增加此内容，可以提高标准化操作水平。</w:t>
      </w:r>
    </w:p>
    <w:p>
      <w:pPr>
        <w:spacing w:line="400" w:lineRule="exact"/>
        <w:ind w:firstLine="480" w:firstLineChars="200"/>
        <w:rPr>
          <w:rFonts w:hint="default" w:eastAsia="仿宋_GB2312"/>
          <w:bCs/>
          <w:sz w:val="24"/>
          <w:lang w:val="en-US" w:eastAsia="zh-CN"/>
        </w:rPr>
      </w:pPr>
      <w:r>
        <w:rPr>
          <w:rFonts w:hint="eastAsia" w:eastAsia="仿宋_GB2312"/>
          <w:bCs/>
          <w:sz w:val="24"/>
          <w:lang w:val="en-US" w:eastAsia="zh-CN"/>
        </w:rPr>
        <w:t>2、涉及表述与编辑性修改的主要有5项：</w:t>
      </w:r>
    </w:p>
    <w:p>
      <w:pPr>
        <w:spacing w:line="400" w:lineRule="exact"/>
        <w:ind w:firstLine="480" w:firstLineChars="200"/>
        <w:rPr>
          <w:rFonts w:hint="default" w:eastAsia="仿宋_GB2312"/>
          <w:bCs/>
          <w:sz w:val="24"/>
          <w:lang w:val="en-US" w:eastAsia="zh-CN"/>
        </w:rPr>
      </w:pPr>
      <w:r>
        <w:rPr>
          <w:rFonts w:hint="eastAsia" w:eastAsia="仿宋_GB2312"/>
          <w:bCs/>
          <w:sz w:val="24"/>
          <w:lang w:val="en-US" w:eastAsia="zh-CN"/>
        </w:rPr>
        <w:t>（1）更改了标准名称， 修订原因：标准原名称“梨树高光效果园建设技术规程”修改为“高光效梨园生产技术规程”，更符合文本涉及到具体内容。</w:t>
      </w:r>
    </w:p>
    <w:p>
      <w:pPr>
        <w:spacing w:line="400" w:lineRule="exact"/>
        <w:ind w:firstLine="480" w:firstLineChars="200"/>
        <w:rPr>
          <w:rFonts w:hint="eastAsia" w:eastAsia="仿宋_GB2312"/>
          <w:bCs/>
          <w:sz w:val="24"/>
          <w:lang w:val="en-US" w:eastAsia="zh-CN"/>
        </w:rPr>
      </w:pPr>
      <w:r>
        <w:rPr>
          <w:rFonts w:hint="eastAsia" w:eastAsia="仿宋_GB2312"/>
          <w:bCs/>
          <w:sz w:val="24"/>
          <w:lang w:val="en-US" w:eastAsia="zh-CN"/>
        </w:rPr>
        <w:t>（2）更改了“产地环境条件”中“土壤条件”“水质条件”的内容，修</w:t>
      </w:r>
      <w:r>
        <w:rPr>
          <w:rFonts w:hint="eastAsia" w:eastAsia="仿宋_GB2312"/>
          <w:bCs/>
          <w:sz w:val="24"/>
          <w:lang w:eastAsia="zh-CN"/>
        </w:rPr>
        <w:t>订</w:t>
      </w:r>
      <w:r>
        <w:rPr>
          <w:rFonts w:hint="eastAsia" w:eastAsia="仿宋_GB2312"/>
          <w:bCs/>
          <w:sz w:val="24"/>
          <w:lang w:val="en-US" w:eastAsia="zh-CN"/>
        </w:rPr>
        <w:t>原因：修改了部分词语表述，语言更加规范。</w:t>
      </w:r>
    </w:p>
    <w:p>
      <w:pPr>
        <w:spacing w:line="400" w:lineRule="exact"/>
        <w:ind w:firstLine="480" w:firstLineChars="200"/>
        <w:rPr>
          <w:rFonts w:hint="eastAsia" w:eastAsia="仿宋_GB2312"/>
          <w:bCs/>
          <w:sz w:val="24"/>
          <w:lang w:val="en-US" w:eastAsia="zh-CN"/>
        </w:rPr>
      </w:pPr>
      <w:r>
        <w:rPr>
          <w:rFonts w:hint="eastAsia" w:eastAsia="仿宋_GB2312"/>
          <w:bCs/>
          <w:sz w:val="24"/>
          <w:lang w:val="en-US" w:eastAsia="zh-CN"/>
        </w:rPr>
        <w:t>（3）更改了第5章“园地规划”“防鸟网”中的内容，修</w:t>
      </w:r>
      <w:r>
        <w:rPr>
          <w:rFonts w:hint="eastAsia" w:eastAsia="仿宋_GB2312"/>
          <w:bCs/>
          <w:sz w:val="24"/>
          <w:lang w:eastAsia="zh-CN"/>
        </w:rPr>
        <w:t>订</w:t>
      </w:r>
      <w:r>
        <w:rPr>
          <w:rFonts w:hint="eastAsia" w:eastAsia="仿宋_GB2312"/>
          <w:bCs/>
          <w:sz w:val="24"/>
          <w:lang w:val="en-US" w:eastAsia="zh-CN"/>
        </w:rPr>
        <w:t>原因：修改了部分词语、语句表述，语言更加规范。</w:t>
      </w:r>
    </w:p>
    <w:p>
      <w:pPr>
        <w:spacing w:line="400" w:lineRule="exact"/>
        <w:ind w:firstLine="480" w:firstLineChars="200"/>
        <w:rPr>
          <w:rFonts w:hint="eastAsia" w:eastAsia="仿宋_GB2312"/>
          <w:bCs/>
          <w:sz w:val="24"/>
          <w:lang w:val="en-US" w:eastAsia="zh-CN"/>
        </w:rPr>
      </w:pPr>
      <w:r>
        <w:rPr>
          <w:rFonts w:hint="eastAsia" w:eastAsia="仿宋_GB2312"/>
          <w:bCs/>
          <w:sz w:val="24"/>
          <w:lang w:val="en-US" w:eastAsia="zh-CN"/>
        </w:rPr>
        <w:t>（4）更改了第10章“授粉”“果实套袋”内容，修</w:t>
      </w:r>
      <w:r>
        <w:rPr>
          <w:rFonts w:hint="eastAsia" w:eastAsia="仿宋_GB2312"/>
          <w:bCs/>
          <w:sz w:val="24"/>
          <w:lang w:eastAsia="zh-CN"/>
        </w:rPr>
        <w:t>订</w:t>
      </w:r>
      <w:r>
        <w:rPr>
          <w:rFonts w:hint="eastAsia" w:eastAsia="仿宋_GB2312"/>
          <w:bCs/>
          <w:sz w:val="24"/>
          <w:lang w:val="en-US" w:eastAsia="zh-CN"/>
        </w:rPr>
        <w:t>原因：修改了部分词语表述，语言更加规范。</w:t>
      </w:r>
    </w:p>
    <w:p>
      <w:pPr>
        <w:spacing w:line="400" w:lineRule="exact"/>
        <w:ind w:firstLine="480" w:firstLineChars="200"/>
        <w:rPr>
          <w:rFonts w:hint="default" w:eastAsia="仿宋_GB2312"/>
          <w:bCs/>
          <w:sz w:val="24"/>
          <w:lang w:val="en-US" w:eastAsia="zh-CN"/>
        </w:rPr>
      </w:pPr>
      <w:r>
        <w:rPr>
          <w:rFonts w:hint="eastAsia" w:eastAsia="仿宋_GB2312"/>
          <w:bCs/>
          <w:sz w:val="24"/>
          <w:lang w:val="en-US" w:eastAsia="zh-CN"/>
        </w:rPr>
        <w:t>（5）更改了附录B中表B.2的框架内容，修</w:t>
      </w:r>
      <w:r>
        <w:rPr>
          <w:rFonts w:hint="eastAsia" w:eastAsia="仿宋_GB2312"/>
          <w:bCs/>
          <w:sz w:val="24"/>
          <w:lang w:eastAsia="zh-CN"/>
        </w:rPr>
        <w:t>订</w:t>
      </w:r>
      <w:r>
        <w:rPr>
          <w:rFonts w:hint="eastAsia" w:eastAsia="仿宋_GB2312"/>
          <w:bCs/>
          <w:sz w:val="24"/>
          <w:lang w:val="en-US" w:eastAsia="zh-CN"/>
        </w:rPr>
        <w:t>原因：修改了表格记录的内容，更加贴切实际操作生产。</w:t>
      </w:r>
    </w:p>
    <w:p>
      <w:pPr>
        <w:spacing w:line="400" w:lineRule="exact"/>
        <w:ind w:firstLine="480" w:firstLineChars="200"/>
        <w:rPr>
          <w:rFonts w:hint="eastAsia" w:ascii="黑体" w:eastAsia="黑体"/>
          <w:sz w:val="24"/>
        </w:rPr>
      </w:pPr>
      <w:r>
        <w:rPr>
          <w:rFonts w:hint="eastAsia" w:eastAsia="仿宋_GB2312"/>
          <w:bCs/>
          <w:sz w:val="24"/>
          <w:lang w:val="en-US" w:eastAsia="zh-CN"/>
        </w:rPr>
        <w:t>3、无涉及</w:t>
      </w:r>
      <w:r>
        <w:rPr>
          <w:rFonts w:hint="eastAsia" w:eastAsia="仿宋_GB2312"/>
          <w:bCs/>
          <w:sz w:val="24"/>
          <w:lang w:eastAsia="zh-CN"/>
        </w:rPr>
        <w:t>到的技术指标</w:t>
      </w:r>
      <w:r>
        <w:rPr>
          <w:rFonts w:hint="eastAsia" w:eastAsia="仿宋_GB2312"/>
          <w:bCs/>
          <w:sz w:val="24"/>
          <w:lang w:val="en-US" w:eastAsia="zh-CN"/>
        </w:rPr>
        <w:t>修改</w:t>
      </w:r>
      <w:r>
        <w:rPr>
          <w:rFonts w:hint="eastAsia" w:eastAsia="仿宋_GB2312"/>
          <w:bCs/>
          <w:sz w:val="24"/>
          <w:lang w:eastAsia="zh-CN"/>
        </w:rPr>
        <w:t>。</w:t>
      </w:r>
    </w:p>
    <w:p>
      <w:pPr>
        <w:spacing w:line="400" w:lineRule="exact"/>
        <w:ind w:firstLine="480" w:firstLineChars="200"/>
        <w:outlineLvl w:val="0"/>
        <w:rPr>
          <w:rFonts w:ascii="黑体" w:eastAsia="黑体"/>
          <w:sz w:val="24"/>
        </w:rPr>
      </w:pPr>
      <w:r>
        <w:rPr>
          <w:rFonts w:hint="eastAsia" w:ascii="黑体" w:eastAsia="黑体"/>
          <w:sz w:val="24"/>
        </w:rPr>
        <w:t>六、重大意见分歧的处理依据和结果</w:t>
      </w:r>
    </w:p>
    <w:p>
      <w:pPr>
        <w:spacing w:line="400" w:lineRule="exact"/>
        <w:ind w:firstLine="480" w:firstLineChars="200"/>
        <w:jc w:val="left"/>
        <w:rPr>
          <w:rFonts w:ascii="仿宋_GB2312" w:hAnsi="宋体" w:eastAsia="仿宋_GB2312"/>
          <w:sz w:val="24"/>
        </w:rPr>
      </w:pPr>
      <w:r>
        <w:rPr>
          <w:rFonts w:hint="eastAsia" w:ascii="仿宋_GB2312" w:hAnsi="宋体" w:eastAsia="仿宋_GB2312"/>
          <w:sz w:val="24"/>
        </w:rPr>
        <w:t>本标准无重大意见分歧。</w:t>
      </w:r>
    </w:p>
    <w:p>
      <w:pPr>
        <w:spacing w:line="400" w:lineRule="exact"/>
        <w:ind w:firstLine="480" w:firstLineChars="200"/>
        <w:outlineLvl w:val="0"/>
        <w:rPr>
          <w:rFonts w:ascii="黑体" w:eastAsia="黑体"/>
          <w:sz w:val="24"/>
        </w:rPr>
      </w:pPr>
      <w:r>
        <w:rPr>
          <w:rFonts w:hint="eastAsia" w:ascii="黑体" w:eastAsia="黑体"/>
          <w:sz w:val="24"/>
        </w:rPr>
        <w:t>七、采标情况，是否合规引用或采用国际标准和国外先进标准，以及与国内外同类标准水平的对比情况</w:t>
      </w:r>
    </w:p>
    <w:p>
      <w:pPr>
        <w:spacing w:line="400" w:lineRule="exact"/>
        <w:ind w:firstLine="480" w:firstLineChars="200"/>
        <w:jc w:val="left"/>
        <w:rPr>
          <w:rFonts w:ascii="仿宋_GB2312" w:hAnsi="宋体" w:eastAsia="仿宋_GB2312"/>
          <w:sz w:val="24"/>
        </w:rPr>
      </w:pPr>
      <w:r>
        <w:rPr>
          <w:rFonts w:hint="eastAsia" w:ascii="仿宋_GB2312" w:hAnsi="宋体" w:eastAsia="仿宋_GB2312"/>
          <w:sz w:val="24"/>
        </w:rPr>
        <w:t>本标准没有采用国际标准和国外标准。</w:t>
      </w:r>
    </w:p>
    <w:p>
      <w:pPr>
        <w:spacing w:line="400" w:lineRule="exact"/>
        <w:ind w:firstLine="480" w:firstLineChars="200"/>
        <w:jc w:val="left"/>
        <w:rPr>
          <w:rFonts w:ascii="仿宋_GB2312" w:hAnsi="宋体" w:eastAsia="仿宋_GB2312"/>
          <w:sz w:val="24"/>
        </w:rPr>
      </w:pPr>
      <w:r>
        <w:rPr>
          <w:rFonts w:hint="eastAsia" w:ascii="仿宋_GB2312" w:hAnsi="宋体" w:eastAsia="仿宋_GB2312"/>
          <w:sz w:val="24"/>
        </w:rPr>
        <w:t>本标准严格遵循国家标准、行业标准在梨树建园方面的相关规定。与现行的国标、行标相比较，本标准以山西省丘陵高海拔生产条件下梨树，尤其是玉露香梨高光效果建设及优质高效生产为抓手，通过细化高光效果园建设相关的品种配置、果园定植、树形模式、花果调控等内容，纳入了国内外梨树优质高效生产研究成果，形成了具有山西特色的梨树高光效果园优质高效生产技术，为我省特色梨果产业发展提供了技术支撑。</w:t>
      </w:r>
    </w:p>
    <w:p>
      <w:pPr>
        <w:spacing w:line="400" w:lineRule="exact"/>
        <w:ind w:firstLine="480" w:firstLineChars="200"/>
        <w:outlineLvl w:val="0"/>
        <w:rPr>
          <w:rFonts w:ascii="黑体" w:eastAsia="黑体"/>
          <w:sz w:val="24"/>
        </w:rPr>
      </w:pPr>
      <w:r>
        <w:rPr>
          <w:rFonts w:hint="eastAsia" w:ascii="黑体" w:eastAsia="黑体"/>
          <w:sz w:val="24"/>
        </w:rPr>
        <w:t>八、作为推荐性标准的建议及其理由</w:t>
      </w:r>
    </w:p>
    <w:p>
      <w:pPr>
        <w:spacing w:line="400" w:lineRule="exact"/>
        <w:ind w:firstLine="480" w:firstLineChars="200"/>
        <w:jc w:val="left"/>
        <w:rPr>
          <w:rFonts w:ascii="仿宋_GB2312" w:hAnsi="宋体" w:eastAsia="仿宋_GB2312"/>
          <w:sz w:val="24"/>
        </w:rPr>
      </w:pPr>
      <w:r>
        <w:rPr>
          <w:rFonts w:hint="eastAsia" w:ascii="仿宋_GB2312" w:hAnsi="宋体" w:eastAsia="仿宋_GB2312"/>
          <w:sz w:val="24"/>
        </w:rPr>
        <w:t>玉露香梨是山西省特色梨果新品种，对环境条件、树形模式及栽培技术要求不同于其他梨树品种；同时山西省梨树生产环境及果园光热资源也与环渤海湾产区明显不同。现有的国标、团标及地标，缺少山西省梨树生产的具体内容，限制了玉露香梨等新品种的优质高效生产。本标准的修订，突出了我省丘陵高原产地环境高光效树形技术特色，填补了我省梨树高光效果园建设的空白，应用前景广阔。建议本标准为推荐性标准。</w:t>
      </w:r>
    </w:p>
    <w:p>
      <w:pPr>
        <w:spacing w:line="400" w:lineRule="exact"/>
        <w:ind w:firstLine="480" w:firstLineChars="200"/>
        <w:outlineLvl w:val="0"/>
        <w:rPr>
          <w:rFonts w:ascii="黑体" w:eastAsia="黑体"/>
          <w:sz w:val="24"/>
        </w:rPr>
      </w:pPr>
      <w:r>
        <w:rPr>
          <w:rFonts w:hint="eastAsia" w:ascii="黑体" w:eastAsia="黑体"/>
          <w:sz w:val="24"/>
        </w:rPr>
        <w:t>九、实施标准的措施建议</w:t>
      </w:r>
    </w:p>
    <w:p>
      <w:pPr>
        <w:spacing w:line="400" w:lineRule="exact"/>
        <w:ind w:firstLine="480" w:firstLineChars="200"/>
        <w:jc w:val="left"/>
        <w:rPr>
          <w:rFonts w:hint="eastAsia" w:ascii="仿宋_GB2312" w:hAnsi="宋体" w:eastAsia="仿宋_GB2312"/>
          <w:sz w:val="24"/>
        </w:rPr>
      </w:pPr>
      <w:r>
        <w:rPr>
          <w:rFonts w:hint="eastAsia" w:ascii="仿宋_GB2312" w:hAnsi="宋体" w:eastAsia="仿宋_GB2312"/>
          <w:sz w:val="24"/>
        </w:rPr>
        <w:t>修订组技术人员长期从事山西省果树优质高效生产关键技术创新研发及标准化示范及规模化推广工作，与主产区地方人民政府、涉农企业、骨干合作社长期合作，在隰县、汾西县、蒲县、平陆县、运城市盐湖区、平遥县等地建成大面积的梨树新品种新树形示范基地，有助于标实施与宣传推广。为推进本标准的示范应用，采取以具体措施。</w:t>
      </w:r>
    </w:p>
    <w:p>
      <w:pPr>
        <w:spacing w:line="400" w:lineRule="exact"/>
        <w:ind w:firstLine="480" w:firstLineChars="200"/>
        <w:jc w:val="left"/>
        <w:rPr>
          <w:rFonts w:ascii="仿宋_GB2312" w:hAnsi="宋体" w:eastAsia="仿宋_GB2312"/>
          <w:sz w:val="24"/>
        </w:rPr>
      </w:pPr>
      <w:r>
        <w:rPr>
          <w:rFonts w:ascii="仿宋_GB2312" w:hAnsi="宋体" w:eastAsia="仿宋_GB2312"/>
          <w:sz w:val="24"/>
        </w:rPr>
        <w:t>1</w:t>
      </w:r>
      <w:r>
        <w:rPr>
          <w:rFonts w:hint="eastAsia" w:ascii="仿宋_GB2312" w:hAnsi="宋体" w:eastAsia="仿宋_GB2312"/>
          <w:sz w:val="24"/>
        </w:rPr>
        <w:t>、通过建设示范基地加快标准化技术示范</w:t>
      </w:r>
    </w:p>
    <w:p>
      <w:pPr>
        <w:spacing w:line="400" w:lineRule="exact"/>
        <w:ind w:firstLine="480" w:firstLineChars="200"/>
        <w:jc w:val="left"/>
        <w:rPr>
          <w:rFonts w:ascii="仿宋_GB2312" w:hAnsi="宋体" w:eastAsia="仿宋_GB2312"/>
          <w:sz w:val="24"/>
        </w:rPr>
      </w:pPr>
      <w:r>
        <w:rPr>
          <w:rFonts w:hint="eastAsia" w:ascii="仿宋_GB2312" w:hAnsi="宋体" w:eastAsia="仿宋_GB2312"/>
          <w:sz w:val="24"/>
        </w:rPr>
        <w:t>利用现有的合作基础，在我省梨树主产区5个县市建设5个高光效树形示范果园，以此为平台进行标准化技术示范，以点带面，辐射推广。</w:t>
      </w:r>
    </w:p>
    <w:p>
      <w:pPr>
        <w:spacing w:line="400" w:lineRule="exact"/>
        <w:ind w:firstLine="480" w:firstLineChars="200"/>
        <w:jc w:val="left"/>
        <w:rPr>
          <w:rFonts w:ascii="仿宋_GB2312" w:hAnsi="宋体" w:eastAsia="仿宋_GB2312"/>
          <w:sz w:val="24"/>
        </w:rPr>
      </w:pPr>
      <w:r>
        <w:rPr>
          <w:rFonts w:ascii="仿宋_GB2312" w:hAnsi="宋体" w:eastAsia="仿宋_GB2312"/>
          <w:sz w:val="24"/>
        </w:rPr>
        <w:t>2</w:t>
      </w:r>
      <w:r>
        <w:rPr>
          <w:rFonts w:hint="eastAsia" w:ascii="仿宋_GB2312" w:hAnsi="宋体" w:eastAsia="仿宋_GB2312"/>
          <w:sz w:val="24"/>
        </w:rPr>
        <w:t>、用“线上＋线下”媒体广泛宣传</w:t>
      </w:r>
    </w:p>
    <w:p>
      <w:pPr>
        <w:spacing w:line="400" w:lineRule="exact"/>
        <w:ind w:firstLine="600" w:firstLineChars="250"/>
        <w:jc w:val="left"/>
        <w:rPr>
          <w:rFonts w:ascii="仿宋_GB2312" w:hAnsi="宋体" w:eastAsia="仿宋_GB2312"/>
          <w:sz w:val="24"/>
        </w:rPr>
      </w:pPr>
      <w:r>
        <w:rPr>
          <w:rFonts w:hint="eastAsia" w:ascii="仿宋_GB2312" w:hAnsi="宋体" w:eastAsia="仿宋_GB2312"/>
          <w:sz w:val="24"/>
        </w:rPr>
        <w:t>利用电视、广播、报刊、网络、微信公众号等“线上线下”媒体进行专题介绍和宣传。同时借助省市县媒体“专题采访”“广播连续”“新闻对话”’等栏目，进一步扩大标准化技术的辐射推广。</w:t>
      </w:r>
    </w:p>
    <w:p>
      <w:pPr>
        <w:spacing w:line="400" w:lineRule="exact"/>
        <w:ind w:firstLine="480" w:firstLineChars="200"/>
        <w:jc w:val="left"/>
        <w:rPr>
          <w:rFonts w:ascii="仿宋_GB2312" w:hAnsi="宋体" w:eastAsia="仿宋_GB2312"/>
          <w:sz w:val="24"/>
        </w:rPr>
      </w:pPr>
      <w:r>
        <w:rPr>
          <w:rFonts w:ascii="仿宋_GB2312" w:hAnsi="宋体" w:eastAsia="仿宋_GB2312"/>
          <w:sz w:val="24"/>
        </w:rPr>
        <w:t xml:space="preserve"> 3</w:t>
      </w:r>
      <w:r>
        <w:rPr>
          <w:rFonts w:hint="eastAsia" w:ascii="仿宋_GB2312" w:hAnsi="宋体" w:eastAsia="仿宋_GB2312"/>
          <w:sz w:val="24"/>
        </w:rPr>
        <w:t>、深入生产一线推广标准化技术</w:t>
      </w:r>
    </w:p>
    <w:p>
      <w:pPr>
        <w:spacing w:line="400" w:lineRule="exact"/>
        <w:ind w:firstLine="480" w:firstLineChars="200"/>
        <w:jc w:val="left"/>
        <w:rPr>
          <w:rFonts w:ascii="仿宋_GB2312" w:hAnsi="宋体" w:eastAsia="仿宋_GB2312"/>
          <w:sz w:val="24"/>
        </w:rPr>
      </w:pPr>
      <w:r>
        <w:rPr>
          <w:rFonts w:hint="eastAsia" w:ascii="仿宋_GB2312" w:hAnsi="宋体" w:eastAsia="仿宋_GB2312"/>
          <w:sz w:val="24"/>
        </w:rPr>
        <w:t>课题组成员依托各类项目支撑，深入生产一线示范推广梨树高光效果园标准化技术。通过现场观摩会、修剪大赛、集中培训、远程教育、专家连线等方式推广标准化技术，提高一线农技人员及果农应用标准技能。</w:t>
      </w:r>
    </w:p>
    <w:p>
      <w:pPr>
        <w:spacing w:line="360" w:lineRule="auto"/>
        <w:jc w:val="left"/>
        <w:rPr>
          <w:rFonts w:ascii="??_GB2312" w:hAnsi="宋体" w:eastAsia="Times New Roman"/>
          <w:sz w:val="24"/>
          <w:szCs w:val="24"/>
        </w:rPr>
      </w:pPr>
    </w:p>
    <w:p>
      <w:pPr>
        <w:spacing w:line="360" w:lineRule="auto"/>
        <w:ind w:firstLine="480" w:firstLineChars="200"/>
        <w:jc w:val="left"/>
        <w:rPr>
          <w:rFonts w:ascii="??_GB2312" w:hAnsi="宋体" w:eastAsia="Times New Roman"/>
          <w:sz w:val="24"/>
          <w:szCs w:val="24"/>
        </w:rPr>
      </w:pPr>
    </w:p>
    <w:p>
      <w:pPr>
        <w:spacing w:line="360" w:lineRule="auto"/>
        <w:ind w:firstLine="480" w:firstLineChars="200"/>
        <w:jc w:val="left"/>
        <w:rPr>
          <w:rFonts w:ascii="??_GB2312" w:hAnsi="宋体" w:eastAsia="Times New Roman"/>
          <w:sz w:val="24"/>
          <w:szCs w:val="24"/>
        </w:rPr>
      </w:pPr>
    </w:p>
    <w:p>
      <w:pPr>
        <w:spacing w:line="360" w:lineRule="auto"/>
        <w:ind w:firstLine="480" w:firstLineChars="200"/>
        <w:jc w:val="left"/>
        <w:rPr>
          <w:rFonts w:ascii="??_GB2312" w:hAnsi="宋体" w:eastAsia="Times New Roman"/>
          <w:sz w:val="24"/>
          <w:szCs w:val="24"/>
        </w:rPr>
      </w:pPr>
    </w:p>
    <w:p>
      <w:pPr>
        <w:snapToGrid w:val="0"/>
        <w:spacing w:line="360" w:lineRule="auto"/>
        <w:rPr>
          <w:rFonts w:ascii="宋体"/>
          <w:sz w:val="44"/>
          <w:szCs w:val="44"/>
        </w:rPr>
        <w:sectPr>
          <w:footerReference r:id="rId3" w:type="default"/>
          <w:pgSz w:w="11906" w:h="16838"/>
          <w:pgMar w:top="1440" w:right="1800" w:bottom="1440" w:left="1800" w:header="851" w:footer="992" w:gutter="0"/>
          <w:pgNumType w:start="1"/>
          <w:cols w:space="425" w:num="1"/>
          <w:titlePg/>
          <w:docGrid w:type="lines" w:linePitch="312" w:charSpace="0"/>
        </w:sectPr>
      </w:pPr>
    </w:p>
    <w:p>
      <w:pPr>
        <w:ind w:firstLine="643" w:firstLineChars="200"/>
        <w:jc w:val="center"/>
        <w:rPr>
          <w:b/>
          <w:bCs/>
          <w:sz w:val="32"/>
          <w:szCs w:val="32"/>
        </w:rPr>
      </w:pPr>
      <w:r>
        <w:rPr>
          <w:rFonts w:hint="eastAsia" w:cs="宋体"/>
          <w:b/>
          <w:bCs/>
          <w:sz w:val="32"/>
          <w:szCs w:val="32"/>
        </w:rPr>
        <w:t>山西省地方标准《高光效</w:t>
      </w:r>
      <w:r>
        <w:rPr>
          <w:rFonts w:hint="eastAsia" w:cs="宋体"/>
          <w:b/>
          <w:bCs/>
          <w:sz w:val="32"/>
          <w:szCs w:val="32"/>
          <w:lang w:val="en-US" w:eastAsia="zh-CN"/>
        </w:rPr>
        <w:t>梨</w:t>
      </w:r>
      <w:r>
        <w:rPr>
          <w:rFonts w:hint="eastAsia" w:cs="宋体"/>
          <w:b/>
          <w:bCs/>
          <w:sz w:val="32"/>
          <w:szCs w:val="32"/>
        </w:rPr>
        <w:t>园</w:t>
      </w:r>
      <w:r>
        <w:rPr>
          <w:rFonts w:hint="eastAsia" w:cs="宋体"/>
          <w:b/>
          <w:bCs/>
          <w:sz w:val="32"/>
          <w:szCs w:val="32"/>
          <w:lang w:val="en-US" w:eastAsia="zh-CN"/>
        </w:rPr>
        <w:t>生产</w:t>
      </w:r>
      <w:r>
        <w:rPr>
          <w:rFonts w:hint="eastAsia" w:cs="宋体"/>
          <w:b/>
          <w:bCs/>
          <w:sz w:val="32"/>
          <w:szCs w:val="32"/>
        </w:rPr>
        <w:t>技术规程》修订征求意见情况汇总表</w:t>
      </w:r>
    </w:p>
    <w:p>
      <w:pPr>
        <w:snapToGrid w:val="0"/>
        <w:spacing w:line="360" w:lineRule="auto"/>
        <w:rPr>
          <w:sz w:val="21"/>
          <w:szCs w:val="21"/>
        </w:rPr>
      </w:pPr>
      <w:r>
        <w:rPr>
          <w:rFonts w:hint="eastAsia" w:cs="宋体"/>
          <w:sz w:val="21"/>
          <w:szCs w:val="21"/>
        </w:rPr>
        <w:t>起草单位：山西农业大学园艺学院</w:t>
      </w:r>
      <w:r>
        <w:rPr>
          <w:sz w:val="21"/>
          <w:szCs w:val="21"/>
        </w:rPr>
        <w:t xml:space="preserve">                                                     </w:t>
      </w:r>
      <w:r>
        <w:rPr>
          <w:rFonts w:hint="eastAsia"/>
          <w:sz w:val="21"/>
          <w:szCs w:val="21"/>
          <w:lang w:val="en-US" w:eastAsia="zh-CN"/>
        </w:rPr>
        <w:t xml:space="preserve">                                     </w:t>
      </w:r>
      <w:r>
        <w:rPr>
          <w:rFonts w:hint="eastAsia" w:cs="宋体"/>
          <w:sz w:val="21"/>
          <w:szCs w:val="21"/>
        </w:rPr>
        <w:t>承办人：</w:t>
      </w:r>
      <w:r>
        <w:rPr>
          <w:sz w:val="21"/>
          <w:szCs w:val="21"/>
        </w:rPr>
        <w:t xml:space="preserve"> </w:t>
      </w:r>
      <w:r>
        <w:rPr>
          <w:rFonts w:hint="eastAsia" w:cs="宋体"/>
          <w:sz w:val="21"/>
          <w:szCs w:val="21"/>
        </w:rPr>
        <w:t>蔚露</w:t>
      </w:r>
    </w:p>
    <w:p>
      <w:pPr>
        <w:snapToGrid w:val="0"/>
        <w:spacing w:line="360" w:lineRule="auto"/>
        <w:rPr>
          <w:sz w:val="21"/>
          <w:szCs w:val="21"/>
        </w:rPr>
      </w:pPr>
      <w:r>
        <w:rPr>
          <w:rFonts w:hint="eastAsia" w:cs="宋体"/>
          <w:sz w:val="21"/>
          <w:szCs w:val="21"/>
        </w:rPr>
        <w:t>联系电话：</w:t>
      </w:r>
      <w:r>
        <w:rPr>
          <w:sz w:val="21"/>
          <w:szCs w:val="21"/>
        </w:rPr>
        <w:t xml:space="preserve">15235163519                                                  </w:t>
      </w:r>
      <w:r>
        <w:rPr>
          <w:rFonts w:hint="eastAsia"/>
          <w:sz w:val="21"/>
          <w:szCs w:val="21"/>
          <w:lang w:val="en-US" w:eastAsia="zh-CN"/>
        </w:rPr>
        <w:t xml:space="preserve">                                    </w:t>
      </w:r>
      <w:r>
        <w:rPr>
          <w:rFonts w:hint="eastAsia" w:cs="宋体"/>
          <w:sz w:val="21"/>
          <w:szCs w:val="21"/>
        </w:rPr>
        <w:t>填写时间：</w:t>
      </w:r>
      <w:r>
        <w:rPr>
          <w:sz w:val="21"/>
          <w:szCs w:val="21"/>
        </w:rPr>
        <w:t xml:space="preserve">2024 </w:t>
      </w:r>
      <w:r>
        <w:rPr>
          <w:rFonts w:hint="eastAsia" w:cs="宋体"/>
          <w:sz w:val="21"/>
          <w:szCs w:val="21"/>
        </w:rPr>
        <w:t>年</w:t>
      </w:r>
      <w:r>
        <w:rPr>
          <w:sz w:val="21"/>
          <w:szCs w:val="21"/>
        </w:rPr>
        <w:t>1</w:t>
      </w:r>
      <w:r>
        <w:rPr>
          <w:rFonts w:hint="eastAsia" w:cs="宋体"/>
          <w:sz w:val="21"/>
          <w:szCs w:val="21"/>
        </w:rPr>
        <w:t>月</w:t>
      </w:r>
      <w:r>
        <w:rPr>
          <w:sz w:val="21"/>
          <w:szCs w:val="21"/>
        </w:rPr>
        <w:t>14</w:t>
      </w:r>
      <w:r>
        <w:rPr>
          <w:rFonts w:hint="eastAsia" w:cs="宋体"/>
          <w:sz w:val="21"/>
          <w:szCs w:val="21"/>
        </w:rPr>
        <w:t>日</w:t>
      </w:r>
      <w:r>
        <w:rPr>
          <w:sz w:val="21"/>
          <w:szCs w:val="21"/>
        </w:rPr>
        <w:t xml:space="preserve"> </w:t>
      </w:r>
    </w:p>
    <w:p>
      <w:pPr>
        <w:snapToGrid w:val="0"/>
        <w:spacing w:line="360" w:lineRule="auto"/>
        <w:rPr>
          <w:sz w:val="21"/>
          <w:szCs w:val="21"/>
        </w:rPr>
      </w:pPr>
      <w:r>
        <w:rPr>
          <w:rFonts w:hint="eastAsia" w:cs="宋体"/>
          <w:sz w:val="21"/>
          <w:szCs w:val="21"/>
        </w:rPr>
        <w:t>发送“征求意见稿”单位数：</w:t>
      </w:r>
      <w:r>
        <w:rPr>
          <w:rFonts w:hint="eastAsia"/>
          <w:sz w:val="21"/>
          <w:szCs w:val="21"/>
          <w:lang w:val="en-US" w:eastAsia="zh-CN"/>
        </w:rPr>
        <w:t>5</w:t>
      </w:r>
      <w:r>
        <w:rPr>
          <w:rFonts w:hint="eastAsia" w:cs="宋体"/>
          <w:sz w:val="21"/>
          <w:szCs w:val="21"/>
        </w:rPr>
        <w:t>个；</w:t>
      </w:r>
      <w:r>
        <w:rPr>
          <w:sz w:val="21"/>
          <w:szCs w:val="21"/>
        </w:rPr>
        <w:t xml:space="preserve">                          </w:t>
      </w:r>
      <w:r>
        <w:rPr>
          <w:rFonts w:hint="eastAsia"/>
          <w:sz w:val="21"/>
          <w:szCs w:val="21"/>
          <w:lang w:val="en-US" w:eastAsia="zh-CN"/>
        </w:rPr>
        <w:t xml:space="preserve">                                    </w:t>
      </w:r>
      <w:r>
        <w:rPr>
          <w:rFonts w:hint="eastAsia" w:cs="宋体"/>
          <w:sz w:val="21"/>
          <w:szCs w:val="21"/>
        </w:rPr>
        <w:t>收到“征求意见稿”后，回函的单位数：</w:t>
      </w:r>
      <w:r>
        <w:rPr>
          <w:rFonts w:hint="eastAsia"/>
          <w:sz w:val="21"/>
          <w:szCs w:val="21"/>
          <w:lang w:val="en-US" w:eastAsia="zh-CN"/>
        </w:rPr>
        <w:t>5</w:t>
      </w:r>
      <w:r>
        <w:rPr>
          <w:rFonts w:hint="eastAsia" w:cs="宋体"/>
          <w:sz w:val="21"/>
          <w:szCs w:val="21"/>
        </w:rPr>
        <w:t>个；</w:t>
      </w:r>
    </w:p>
    <w:p>
      <w:pPr>
        <w:snapToGrid w:val="0"/>
        <w:spacing w:line="360" w:lineRule="auto"/>
        <w:rPr>
          <w:sz w:val="21"/>
          <w:szCs w:val="21"/>
        </w:rPr>
      </w:pPr>
      <w:r>
        <w:rPr>
          <w:rFonts w:hint="eastAsia" w:cs="宋体"/>
          <w:sz w:val="21"/>
          <w:szCs w:val="21"/>
        </w:rPr>
        <w:t>收到“征求意见稿”后，回函并提出意见的单位数：</w:t>
      </w:r>
      <w:r>
        <w:rPr>
          <w:rFonts w:hint="eastAsia"/>
          <w:sz w:val="21"/>
          <w:szCs w:val="21"/>
          <w:lang w:val="en-US" w:eastAsia="zh-CN"/>
        </w:rPr>
        <w:t>5</w:t>
      </w:r>
      <w:r>
        <w:rPr>
          <w:rFonts w:hint="eastAsia" w:cs="宋体"/>
          <w:sz w:val="21"/>
          <w:szCs w:val="21"/>
        </w:rPr>
        <w:t>个；</w:t>
      </w:r>
      <w:r>
        <w:rPr>
          <w:sz w:val="21"/>
          <w:szCs w:val="21"/>
        </w:rPr>
        <w:t xml:space="preserve">                         </w:t>
      </w:r>
      <w:r>
        <w:rPr>
          <w:rFonts w:hint="eastAsia"/>
          <w:sz w:val="21"/>
          <w:szCs w:val="21"/>
          <w:lang w:val="en-US" w:eastAsia="zh-CN"/>
        </w:rPr>
        <w:t xml:space="preserve">                                  </w:t>
      </w:r>
      <w:r>
        <w:rPr>
          <w:rFonts w:hint="eastAsia" w:cs="宋体"/>
          <w:sz w:val="21"/>
          <w:szCs w:val="21"/>
        </w:rPr>
        <w:t>没有回函的单位数：</w:t>
      </w:r>
      <w:r>
        <w:rPr>
          <w:sz w:val="21"/>
          <w:szCs w:val="21"/>
        </w:rPr>
        <w:t>0</w:t>
      </w:r>
      <w:r>
        <w:rPr>
          <w:rFonts w:hint="eastAsia" w:cs="宋体"/>
          <w:sz w:val="21"/>
          <w:szCs w:val="21"/>
        </w:rPr>
        <w:t>个。</w:t>
      </w:r>
    </w:p>
    <w:p>
      <w:pPr>
        <w:snapToGrid w:val="0"/>
        <w:spacing w:line="360" w:lineRule="auto"/>
        <w:rPr>
          <w:rFonts w:ascii="??_GB2312" w:hAnsi="宋体" w:eastAsia="Times New Roman"/>
          <w:sz w:val="21"/>
          <w:szCs w:val="21"/>
        </w:rPr>
      </w:pPr>
      <w:r>
        <w:rPr>
          <w:rFonts w:hint="eastAsia" w:cs="宋体"/>
          <w:sz w:val="21"/>
          <w:szCs w:val="21"/>
        </w:rPr>
        <w:t>共收到</w:t>
      </w:r>
      <w:r>
        <w:rPr>
          <w:rFonts w:hint="eastAsia"/>
          <w:sz w:val="21"/>
          <w:szCs w:val="21"/>
          <w:lang w:val="en-US" w:eastAsia="zh-CN"/>
        </w:rPr>
        <w:t>5</w:t>
      </w:r>
      <w:r>
        <w:rPr>
          <w:rFonts w:hint="eastAsia" w:cs="宋体"/>
          <w:sz w:val="21"/>
          <w:szCs w:val="21"/>
        </w:rPr>
        <w:t>条意见；</w:t>
      </w:r>
      <w:r>
        <w:rPr>
          <w:sz w:val="21"/>
          <w:szCs w:val="21"/>
        </w:rPr>
        <w:t xml:space="preserve">                                                                      </w:t>
      </w:r>
      <w:r>
        <w:rPr>
          <w:rFonts w:hint="eastAsia"/>
          <w:sz w:val="21"/>
          <w:szCs w:val="21"/>
          <w:lang w:val="en-US" w:eastAsia="zh-CN"/>
        </w:rPr>
        <w:t xml:space="preserve">                                  </w:t>
      </w:r>
      <w:r>
        <w:rPr>
          <w:rFonts w:hint="eastAsia" w:cs="宋体"/>
          <w:sz w:val="21"/>
          <w:szCs w:val="21"/>
        </w:rPr>
        <w:t>采纳</w:t>
      </w:r>
      <w:r>
        <w:rPr>
          <w:rFonts w:hint="eastAsia"/>
          <w:sz w:val="21"/>
          <w:szCs w:val="21"/>
          <w:lang w:val="en-US" w:eastAsia="zh-CN"/>
        </w:rPr>
        <w:t>5</w:t>
      </w:r>
      <w:r>
        <w:rPr>
          <w:rFonts w:hint="eastAsia" w:cs="宋体"/>
          <w:sz w:val="21"/>
          <w:szCs w:val="21"/>
        </w:rPr>
        <w:t>条意见。</w:t>
      </w:r>
    </w:p>
    <w:tbl>
      <w:tblPr>
        <w:tblStyle w:val="11"/>
        <w:tblW w:w="0" w:type="auto"/>
        <w:jc w:val="center"/>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fixed"/>
        <w:tblCellMar>
          <w:top w:w="0" w:type="dxa"/>
          <w:left w:w="108" w:type="dxa"/>
          <w:bottom w:w="0" w:type="dxa"/>
          <w:right w:w="108" w:type="dxa"/>
        </w:tblCellMar>
      </w:tblPr>
      <w:tblGrid>
        <w:gridCol w:w="656"/>
        <w:gridCol w:w="1534"/>
        <w:gridCol w:w="5686"/>
        <w:gridCol w:w="3182"/>
        <w:gridCol w:w="1079"/>
        <w:gridCol w:w="1980"/>
      </w:tblGrid>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425" w:hRule="atLeast"/>
          <w:jc w:val="center"/>
        </w:trPr>
        <w:tc>
          <w:tcPr>
            <w:tcW w:w="656" w:type="dxa"/>
            <w:noWrap w:val="0"/>
            <w:vAlign w:val="center"/>
          </w:tcPr>
          <w:p>
            <w:pPr>
              <w:keepNext w:val="0"/>
              <w:keepLines w:val="0"/>
              <w:suppressLineNumbers w:val="0"/>
              <w:adjustRightInd w:val="0"/>
              <w:snapToGrid w:val="0"/>
              <w:spacing w:before="0" w:beforeAutospacing="0" w:after="0" w:afterAutospacing="0" w:line="360" w:lineRule="auto"/>
              <w:ind w:left="0" w:right="0"/>
              <w:jc w:val="center"/>
              <w:rPr>
                <w:rFonts w:hint="default"/>
                <w:szCs w:val="21"/>
              </w:rPr>
            </w:pPr>
            <w:r>
              <w:rPr>
                <w:rFonts w:hint="default"/>
                <w:szCs w:val="21"/>
              </w:rPr>
              <w:t>序号</w:t>
            </w:r>
          </w:p>
        </w:tc>
        <w:tc>
          <w:tcPr>
            <w:tcW w:w="1534" w:type="dxa"/>
            <w:noWrap w:val="0"/>
            <w:vAlign w:val="center"/>
          </w:tcPr>
          <w:p>
            <w:pPr>
              <w:keepNext w:val="0"/>
              <w:keepLines w:val="0"/>
              <w:suppressLineNumbers w:val="0"/>
              <w:adjustRightInd w:val="0"/>
              <w:snapToGrid w:val="0"/>
              <w:spacing w:before="0" w:beforeAutospacing="0" w:after="0" w:afterAutospacing="0" w:line="360" w:lineRule="auto"/>
              <w:ind w:left="0" w:right="0"/>
              <w:jc w:val="center"/>
              <w:rPr>
                <w:rFonts w:hint="default"/>
                <w:szCs w:val="21"/>
              </w:rPr>
            </w:pPr>
            <w:r>
              <w:rPr>
                <w:rFonts w:hint="default"/>
                <w:szCs w:val="21"/>
              </w:rPr>
              <w:t>章条编号</w:t>
            </w:r>
          </w:p>
        </w:tc>
        <w:tc>
          <w:tcPr>
            <w:tcW w:w="5686" w:type="dxa"/>
            <w:noWrap w:val="0"/>
            <w:vAlign w:val="center"/>
          </w:tcPr>
          <w:p>
            <w:pPr>
              <w:keepNext w:val="0"/>
              <w:keepLines w:val="0"/>
              <w:suppressLineNumbers w:val="0"/>
              <w:adjustRightInd w:val="0"/>
              <w:snapToGrid w:val="0"/>
              <w:spacing w:before="0" w:beforeAutospacing="0" w:after="0" w:afterAutospacing="0" w:line="360" w:lineRule="auto"/>
              <w:ind w:left="0" w:right="0"/>
              <w:jc w:val="center"/>
              <w:rPr>
                <w:rFonts w:hint="default"/>
                <w:szCs w:val="21"/>
              </w:rPr>
            </w:pPr>
            <w:r>
              <w:rPr>
                <w:rFonts w:hint="default"/>
                <w:szCs w:val="21"/>
              </w:rPr>
              <w:t>意见内容</w:t>
            </w:r>
          </w:p>
        </w:tc>
        <w:tc>
          <w:tcPr>
            <w:tcW w:w="3182" w:type="dxa"/>
            <w:noWrap w:val="0"/>
            <w:vAlign w:val="center"/>
          </w:tcPr>
          <w:p>
            <w:pPr>
              <w:keepNext w:val="0"/>
              <w:keepLines w:val="0"/>
              <w:suppressLineNumbers w:val="0"/>
              <w:adjustRightInd w:val="0"/>
              <w:snapToGrid w:val="0"/>
              <w:spacing w:before="0" w:beforeAutospacing="0" w:after="0" w:afterAutospacing="0" w:line="360" w:lineRule="auto"/>
              <w:ind w:left="0" w:right="0"/>
              <w:jc w:val="center"/>
              <w:rPr>
                <w:rFonts w:hint="default"/>
                <w:szCs w:val="21"/>
              </w:rPr>
            </w:pPr>
            <w:r>
              <w:rPr>
                <w:rFonts w:hint="default"/>
                <w:szCs w:val="21"/>
              </w:rPr>
              <w:t>提出单位</w:t>
            </w:r>
          </w:p>
        </w:tc>
        <w:tc>
          <w:tcPr>
            <w:tcW w:w="1079" w:type="dxa"/>
            <w:noWrap w:val="0"/>
            <w:vAlign w:val="center"/>
          </w:tcPr>
          <w:p>
            <w:pPr>
              <w:keepNext w:val="0"/>
              <w:keepLines w:val="0"/>
              <w:suppressLineNumbers w:val="0"/>
              <w:adjustRightInd w:val="0"/>
              <w:snapToGrid w:val="0"/>
              <w:spacing w:before="0" w:beforeAutospacing="0" w:after="0" w:afterAutospacing="0" w:line="360" w:lineRule="auto"/>
              <w:ind w:left="0" w:right="0"/>
              <w:jc w:val="center"/>
              <w:rPr>
                <w:rFonts w:hint="default"/>
                <w:szCs w:val="21"/>
              </w:rPr>
            </w:pPr>
            <w:r>
              <w:rPr>
                <w:rFonts w:hint="default"/>
                <w:szCs w:val="21"/>
              </w:rPr>
              <w:t>处理意见</w:t>
            </w:r>
          </w:p>
        </w:tc>
        <w:tc>
          <w:tcPr>
            <w:tcW w:w="1980" w:type="dxa"/>
            <w:noWrap w:val="0"/>
            <w:vAlign w:val="center"/>
          </w:tcPr>
          <w:p>
            <w:pPr>
              <w:keepNext w:val="0"/>
              <w:keepLines w:val="0"/>
              <w:suppressLineNumbers w:val="0"/>
              <w:adjustRightInd w:val="0"/>
              <w:snapToGrid w:val="0"/>
              <w:spacing w:before="0" w:beforeAutospacing="0" w:after="0" w:afterAutospacing="0" w:line="360" w:lineRule="auto"/>
              <w:ind w:left="0" w:right="0"/>
              <w:jc w:val="center"/>
              <w:rPr>
                <w:rFonts w:hint="eastAsia"/>
                <w:szCs w:val="21"/>
              </w:rPr>
            </w:pPr>
            <w:r>
              <w:rPr>
                <w:rFonts w:hint="eastAsia"/>
                <w:szCs w:val="21"/>
              </w:rPr>
              <w:t>备注</w:t>
            </w: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868" w:hRule="atLeast"/>
          <w:jc w:val="center"/>
        </w:trPr>
        <w:tc>
          <w:tcPr>
            <w:tcW w:w="656" w:type="dxa"/>
            <w:noWrap w:val="0"/>
            <w:vAlign w:val="center"/>
          </w:tcPr>
          <w:p>
            <w:pPr>
              <w:keepNext w:val="0"/>
              <w:keepLines w:val="0"/>
              <w:suppressLineNumbers w:val="0"/>
              <w:adjustRightInd w:val="0"/>
              <w:snapToGrid w:val="0"/>
              <w:spacing w:before="0" w:beforeAutospacing="0" w:after="0" w:afterAutospacing="0" w:line="360" w:lineRule="auto"/>
              <w:ind w:left="0" w:right="0"/>
              <w:jc w:val="center"/>
              <w:rPr>
                <w:rFonts w:hint="default"/>
                <w:szCs w:val="21"/>
              </w:rPr>
            </w:pPr>
            <w:r>
              <w:rPr>
                <w:rFonts w:hint="default"/>
                <w:szCs w:val="21"/>
              </w:rPr>
              <w:t>1</w:t>
            </w:r>
          </w:p>
        </w:tc>
        <w:tc>
          <w:tcPr>
            <w:tcW w:w="1534" w:type="dxa"/>
            <w:noWrap w:val="0"/>
            <w:vAlign w:val="center"/>
          </w:tcPr>
          <w:p>
            <w:pPr>
              <w:keepNext w:val="0"/>
              <w:keepLines w:val="0"/>
              <w:suppressLineNumbers w:val="0"/>
              <w:adjustRightInd w:val="0"/>
              <w:snapToGrid w:val="0"/>
              <w:spacing w:before="0" w:beforeAutospacing="0" w:after="0" w:afterAutospacing="0" w:line="360" w:lineRule="auto"/>
              <w:ind w:left="0" w:right="0"/>
              <w:rPr>
                <w:rFonts w:hint="eastAsia" w:ascii="Times New Roman" w:hAnsi="Times New Roman" w:eastAsia="宋体" w:cs="Times New Roman"/>
                <w:kern w:val="2"/>
                <w:sz w:val="24"/>
                <w:szCs w:val="21"/>
                <w:lang w:val="en-US" w:eastAsia="zh-CN" w:bidi="ar-SA"/>
              </w:rPr>
            </w:pPr>
            <w:r>
              <w:rPr>
                <w:rFonts w:hint="eastAsia"/>
                <w:sz w:val="24"/>
              </w:rPr>
              <w:t>4.1气候条件</w:t>
            </w:r>
          </w:p>
        </w:tc>
        <w:tc>
          <w:tcPr>
            <w:tcW w:w="5686" w:type="dxa"/>
            <w:noWrap w:val="0"/>
            <w:vAlign w:val="center"/>
          </w:tcPr>
          <w:p>
            <w:pPr>
              <w:keepNext w:val="0"/>
              <w:keepLines w:val="0"/>
              <w:suppressLineNumbers w:val="0"/>
              <w:adjustRightInd w:val="0"/>
              <w:snapToGrid w:val="0"/>
              <w:spacing w:before="0" w:beforeAutospacing="0" w:after="0" w:afterAutospacing="0"/>
              <w:ind w:left="0" w:right="0"/>
              <w:rPr>
                <w:rFonts w:hint="default" w:ascii="Times New Roman" w:hAnsi="Times New Roman" w:eastAsia="宋体" w:cs="Times New Roman"/>
                <w:kern w:val="2"/>
                <w:sz w:val="21"/>
                <w:szCs w:val="21"/>
                <w:lang w:val="en-US" w:eastAsia="zh-CN" w:bidi="ar-SA"/>
              </w:rPr>
            </w:pPr>
            <w:r>
              <w:rPr>
                <w:rFonts w:hint="eastAsia"/>
              </w:rPr>
              <w:t>果园年平均气温由8 ℃提高0.5-1 ℃，越冬休眠期绝对最低温温度不低于-30 ℃.</w:t>
            </w:r>
          </w:p>
        </w:tc>
        <w:tc>
          <w:tcPr>
            <w:tcW w:w="3182" w:type="dxa"/>
            <w:noWrap w:val="0"/>
            <w:vAlign w:val="center"/>
          </w:tcPr>
          <w:p>
            <w:pPr>
              <w:keepNext w:val="0"/>
              <w:keepLines w:val="0"/>
              <w:suppressLineNumbers w:val="0"/>
              <w:adjustRightInd w:val="0"/>
              <w:snapToGrid w:val="0"/>
              <w:spacing w:before="0" w:beforeAutospacing="0" w:after="0" w:afterAutospacing="0" w:line="360" w:lineRule="auto"/>
              <w:ind w:left="0" w:right="0"/>
              <w:rPr>
                <w:rFonts w:hint="eastAsia" w:ascii="Times New Roman" w:hAnsi="Times New Roman" w:eastAsia="宋体" w:cs="Times New Roman"/>
                <w:kern w:val="2"/>
                <w:sz w:val="21"/>
                <w:szCs w:val="21"/>
                <w:lang w:val="en-US" w:eastAsia="zh-CN" w:bidi="ar-SA"/>
              </w:rPr>
            </w:pPr>
            <w:r>
              <w:rPr>
                <w:rFonts w:hint="eastAsia"/>
                <w:szCs w:val="21"/>
              </w:rPr>
              <w:t>隰县果业局、隰县源生果园生草合作社</w:t>
            </w:r>
          </w:p>
        </w:tc>
        <w:tc>
          <w:tcPr>
            <w:tcW w:w="1079" w:type="dxa"/>
            <w:noWrap w:val="0"/>
            <w:vAlign w:val="center"/>
          </w:tcPr>
          <w:p>
            <w:pPr>
              <w:keepNext w:val="0"/>
              <w:keepLines w:val="0"/>
              <w:suppressLineNumbers w:val="0"/>
              <w:adjustRightInd w:val="0"/>
              <w:snapToGrid w:val="0"/>
              <w:spacing w:before="0" w:beforeAutospacing="0" w:after="0" w:afterAutospacing="0" w:line="360" w:lineRule="auto"/>
              <w:ind w:left="0" w:right="0"/>
              <w:rPr>
                <w:rFonts w:hint="default" w:ascii="Times New Roman" w:hAnsi="Times New Roman" w:eastAsia="宋体" w:cs="Times New Roman"/>
                <w:kern w:val="2"/>
                <w:sz w:val="21"/>
                <w:szCs w:val="21"/>
                <w:lang w:val="en-US" w:eastAsia="zh-CN" w:bidi="ar-SA"/>
              </w:rPr>
            </w:pPr>
            <w:r>
              <w:rPr>
                <w:rFonts w:hint="default"/>
                <w:szCs w:val="21"/>
              </w:rPr>
              <w:t>采纳</w:t>
            </w:r>
          </w:p>
        </w:tc>
        <w:tc>
          <w:tcPr>
            <w:tcW w:w="1980" w:type="dxa"/>
            <w:noWrap w:val="0"/>
            <w:vAlign w:val="center"/>
          </w:tcPr>
          <w:p>
            <w:pPr>
              <w:keepNext w:val="0"/>
              <w:keepLines w:val="0"/>
              <w:suppressLineNumbers w:val="0"/>
              <w:adjustRightInd w:val="0"/>
              <w:snapToGrid w:val="0"/>
              <w:spacing w:before="0" w:beforeAutospacing="0" w:after="0" w:afterAutospacing="0" w:line="360" w:lineRule="auto"/>
              <w:ind w:left="0" w:right="0"/>
              <w:rPr>
                <w:rFonts w:hint="eastAsia" w:ascii="Times New Roman" w:hAnsi="Times New Roman" w:eastAsia="宋体" w:cs="Times New Roman"/>
                <w:kern w:val="2"/>
                <w:sz w:val="21"/>
                <w:szCs w:val="21"/>
                <w:lang w:val="en-US" w:eastAsia="zh-CN" w:bidi="ar-SA"/>
              </w:rPr>
            </w:pPr>
            <w:r>
              <w:rPr>
                <w:rFonts w:hint="eastAsia"/>
                <w:szCs w:val="21"/>
              </w:rPr>
              <w:t>更新了相关内容</w:t>
            </w: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766" w:hRule="atLeast"/>
          <w:jc w:val="center"/>
        </w:trPr>
        <w:tc>
          <w:tcPr>
            <w:tcW w:w="656" w:type="dxa"/>
            <w:noWrap w:val="0"/>
            <w:vAlign w:val="center"/>
          </w:tcPr>
          <w:p>
            <w:pPr>
              <w:keepNext w:val="0"/>
              <w:keepLines w:val="0"/>
              <w:suppressLineNumbers w:val="0"/>
              <w:adjustRightInd w:val="0"/>
              <w:snapToGrid w:val="0"/>
              <w:spacing w:before="0" w:beforeAutospacing="0" w:after="0" w:afterAutospacing="0" w:line="360" w:lineRule="auto"/>
              <w:ind w:left="0" w:right="0"/>
              <w:jc w:val="center"/>
              <w:rPr>
                <w:rFonts w:hint="default"/>
                <w:szCs w:val="21"/>
              </w:rPr>
            </w:pPr>
            <w:r>
              <w:rPr>
                <w:rFonts w:hint="eastAsia"/>
                <w:szCs w:val="21"/>
              </w:rPr>
              <w:t>2</w:t>
            </w:r>
          </w:p>
        </w:tc>
        <w:tc>
          <w:tcPr>
            <w:tcW w:w="1534" w:type="dxa"/>
            <w:noWrap w:val="0"/>
            <w:vAlign w:val="center"/>
          </w:tcPr>
          <w:p>
            <w:pPr>
              <w:keepNext w:val="0"/>
              <w:keepLines w:val="0"/>
              <w:suppressLineNumbers w:val="0"/>
              <w:adjustRightInd w:val="0"/>
              <w:snapToGrid w:val="0"/>
              <w:spacing w:before="0" w:beforeAutospacing="0" w:after="0" w:afterAutospacing="0" w:line="360" w:lineRule="auto"/>
              <w:ind w:left="0" w:right="0"/>
              <w:rPr>
                <w:rFonts w:hint="eastAsia" w:ascii="Times New Roman" w:hAnsi="Times New Roman" w:eastAsia="宋体" w:cs="Times New Roman"/>
                <w:kern w:val="2"/>
                <w:sz w:val="24"/>
                <w:szCs w:val="21"/>
                <w:lang w:val="en-US" w:eastAsia="zh-CN" w:bidi="ar-SA"/>
              </w:rPr>
            </w:pPr>
            <w:r>
              <w:rPr>
                <w:rFonts w:hint="eastAsia"/>
                <w:szCs w:val="21"/>
              </w:rPr>
              <w:t>5.3.2 主栽品种</w:t>
            </w:r>
          </w:p>
        </w:tc>
        <w:tc>
          <w:tcPr>
            <w:tcW w:w="5686" w:type="dxa"/>
            <w:noWrap w:val="0"/>
            <w:vAlign w:val="center"/>
          </w:tcPr>
          <w:p>
            <w:pPr>
              <w:keepNext w:val="0"/>
              <w:keepLines w:val="0"/>
              <w:suppressLineNumbers w:val="0"/>
              <w:adjustRightInd w:val="0"/>
              <w:snapToGrid w:val="0"/>
              <w:spacing w:before="0" w:beforeAutospacing="0" w:after="0" w:afterAutospacing="0"/>
              <w:ind w:left="0" w:right="0"/>
              <w:rPr>
                <w:rFonts w:hint="eastAsia" w:ascii="Times New Roman" w:hAnsi="Times New Roman" w:eastAsia="宋体" w:cs="Times New Roman"/>
                <w:kern w:val="2"/>
                <w:sz w:val="21"/>
                <w:szCs w:val="21"/>
                <w:lang w:val="en-US" w:eastAsia="zh-CN" w:bidi="ar-SA"/>
              </w:rPr>
            </w:pPr>
            <w:r>
              <w:rPr>
                <w:rFonts w:hint="eastAsia"/>
              </w:rPr>
              <w:t>建议增加丹霞红、西洋梨等梨树新品种</w:t>
            </w:r>
          </w:p>
        </w:tc>
        <w:tc>
          <w:tcPr>
            <w:tcW w:w="3182" w:type="dxa"/>
            <w:noWrap w:val="0"/>
            <w:vAlign w:val="center"/>
          </w:tcPr>
          <w:p>
            <w:pPr>
              <w:keepNext w:val="0"/>
              <w:keepLines w:val="0"/>
              <w:suppressLineNumbers w:val="0"/>
              <w:adjustRightInd w:val="0"/>
              <w:snapToGrid w:val="0"/>
              <w:spacing w:before="0" w:beforeAutospacing="0" w:after="0" w:afterAutospacing="0" w:line="360" w:lineRule="auto"/>
              <w:ind w:left="0" w:right="0"/>
              <w:rPr>
                <w:rFonts w:hint="default" w:ascii="Times New Roman" w:hAnsi="Times New Roman" w:eastAsia="宋体" w:cs="Times New Roman"/>
                <w:kern w:val="2"/>
                <w:sz w:val="21"/>
                <w:szCs w:val="21"/>
                <w:lang w:val="en-US" w:eastAsia="zh-CN" w:bidi="ar-SA"/>
              </w:rPr>
            </w:pPr>
            <w:r>
              <w:rPr>
                <w:rFonts w:hint="eastAsia"/>
                <w:szCs w:val="21"/>
              </w:rPr>
              <w:t>蒲县农业资源开发中心</w:t>
            </w:r>
          </w:p>
        </w:tc>
        <w:tc>
          <w:tcPr>
            <w:tcW w:w="1079" w:type="dxa"/>
            <w:noWrap w:val="0"/>
            <w:vAlign w:val="center"/>
          </w:tcPr>
          <w:p>
            <w:pPr>
              <w:keepNext w:val="0"/>
              <w:keepLines w:val="0"/>
              <w:suppressLineNumbers w:val="0"/>
              <w:adjustRightInd w:val="0"/>
              <w:snapToGrid w:val="0"/>
              <w:spacing w:before="0" w:beforeAutospacing="0" w:after="0" w:afterAutospacing="0" w:line="360" w:lineRule="auto"/>
              <w:ind w:left="0" w:right="0"/>
              <w:rPr>
                <w:rFonts w:hint="default" w:ascii="Times New Roman" w:hAnsi="Times New Roman" w:eastAsia="宋体" w:cs="Times New Roman"/>
                <w:kern w:val="2"/>
                <w:sz w:val="21"/>
                <w:szCs w:val="21"/>
                <w:lang w:val="en-US" w:eastAsia="zh-CN" w:bidi="ar-SA"/>
              </w:rPr>
            </w:pPr>
            <w:r>
              <w:rPr>
                <w:rFonts w:hint="default"/>
                <w:szCs w:val="21"/>
              </w:rPr>
              <w:t>采纳</w:t>
            </w:r>
          </w:p>
        </w:tc>
        <w:tc>
          <w:tcPr>
            <w:tcW w:w="1980" w:type="dxa"/>
            <w:noWrap w:val="0"/>
            <w:vAlign w:val="center"/>
          </w:tcPr>
          <w:p>
            <w:pPr>
              <w:keepNext w:val="0"/>
              <w:keepLines w:val="0"/>
              <w:suppressLineNumbers w:val="0"/>
              <w:adjustRightInd w:val="0"/>
              <w:snapToGrid w:val="0"/>
              <w:spacing w:before="0" w:beforeAutospacing="0" w:after="0" w:afterAutospacing="0" w:line="360" w:lineRule="auto"/>
              <w:ind w:left="0" w:right="0"/>
              <w:rPr>
                <w:rFonts w:hint="eastAsia" w:ascii="Times New Roman" w:hAnsi="Times New Roman" w:eastAsia="宋体" w:cs="Times New Roman"/>
                <w:kern w:val="2"/>
                <w:sz w:val="21"/>
                <w:szCs w:val="21"/>
                <w:lang w:val="en-US" w:eastAsia="zh-CN" w:bidi="ar-SA"/>
              </w:rPr>
            </w:pPr>
            <w:r>
              <w:rPr>
                <w:rFonts w:hint="eastAsia"/>
                <w:szCs w:val="21"/>
              </w:rPr>
              <w:t>更新2-3个</w:t>
            </w: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852" w:hRule="atLeast"/>
          <w:jc w:val="center"/>
        </w:trPr>
        <w:tc>
          <w:tcPr>
            <w:tcW w:w="656" w:type="dxa"/>
            <w:noWrap w:val="0"/>
            <w:vAlign w:val="center"/>
          </w:tcPr>
          <w:p>
            <w:pPr>
              <w:keepNext w:val="0"/>
              <w:keepLines w:val="0"/>
              <w:suppressLineNumbers w:val="0"/>
              <w:adjustRightInd w:val="0"/>
              <w:snapToGrid w:val="0"/>
              <w:spacing w:before="0" w:beforeAutospacing="0" w:after="0" w:afterAutospacing="0" w:line="360" w:lineRule="auto"/>
              <w:ind w:left="0" w:right="0"/>
              <w:jc w:val="center"/>
              <w:rPr>
                <w:rFonts w:hint="default"/>
                <w:szCs w:val="21"/>
              </w:rPr>
            </w:pPr>
            <w:r>
              <w:rPr>
                <w:rFonts w:hint="eastAsia"/>
                <w:szCs w:val="21"/>
              </w:rPr>
              <w:t>3</w:t>
            </w:r>
          </w:p>
        </w:tc>
        <w:tc>
          <w:tcPr>
            <w:tcW w:w="1534" w:type="dxa"/>
            <w:noWrap w:val="0"/>
            <w:vAlign w:val="center"/>
          </w:tcPr>
          <w:p>
            <w:pPr>
              <w:keepNext w:val="0"/>
              <w:keepLines w:val="0"/>
              <w:suppressLineNumbers w:val="0"/>
              <w:adjustRightInd w:val="0"/>
              <w:snapToGrid w:val="0"/>
              <w:spacing w:before="0" w:beforeAutospacing="0" w:after="0" w:afterAutospacing="0" w:line="360" w:lineRule="auto"/>
              <w:ind w:left="0" w:right="0"/>
              <w:rPr>
                <w:rFonts w:hint="eastAsia" w:ascii="Times New Roman" w:hAnsi="Times New Roman" w:eastAsia="宋体" w:cs="Times New Roman"/>
                <w:kern w:val="2"/>
                <w:sz w:val="24"/>
                <w:szCs w:val="21"/>
                <w:lang w:val="en-US" w:eastAsia="zh-CN" w:bidi="ar-SA"/>
              </w:rPr>
            </w:pPr>
            <w:r>
              <w:rPr>
                <w:rFonts w:hint="eastAsia"/>
                <w:sz w:val="24"/>
              </w:rPr>
              <w:t>10.7 果实套袋</w:t>
            </w:r>
          </w:p>
        </w:tc>
        <w:tc>
          <w:tcPr>
            <w:tcW w:w="5686" w:type="dxa"/>
            <w:noWrap w:val="0"/>
            <w:vAlign w:val="center"/>
          </w:tcPr>
          <w:p>
            <w:pPr>
              <w:keepNext w:val="0"/>
              <w:keepLines w:val="0"/>
              <w:suppressLineNumbers w:val="0"/>
              <w:adjustRightInd w:val="0"/>
              <w:snapToGrid w:val="0"/>
              <w:spacing w:before="0" w:beforeAutospacing="0" w:after="0" w:afterAutospacing="0" w:line="360" w:lineRule="auto"/>
              <w:ind w:left="0" w:right="0"/>
              <w:rPr>
                <w:rFonts w:hint="eastAsia" w:ascii="Times New Roman" w:hAnsi="Times New Roman" w:eastAsia="宋体" w:cs="Times New Roman"/>
                <w:kern w:val="2"/>
                <w:sz w:val="21"/>
                <w:szCs w:val="21"/>
                <w:lang w:val="en-US" w:eastAsia="zh-CN" w:bidi="ar-SA"/>
              </w:rPr>
            </w:pPr>
            <w:r>
              <w:rPr>
                <w:rFonts w:hint="eastAsia" w:hAnsi="宋体"/>
              </w:rPr>
              <w:t>建议细化内堂，膜袋花后40～50天完成，果实成熟后带膜袋采收贮藏。</w:t>
            </w:r>
          </w:p>
        </w:tc>
        <w:tc>
          <w:tcPr>
            <w:tcW w:w="3182" w:type="dxa"/>
            <w:noWrap w:val="0"/>
            <w:vAlign w:val="center"/>
          </w:tcPr>
          <w:p>
            <w:pPr>
              <w:keepNext w:val="0"/>
              <w:keepLines w:val="0"/>
              <w:suppressLineNumbers w:val="0"/>
              <w:adjustRightInd w:val="0"/>
              <w:snapToGrid w:val="0"/>
              <w:spacing w:before="0" w:beforeAutospacing="0" w:after="0" w:afterAutospacing="0" w:line="360" w:lineRule="auto"/>
              <w:ind w:left="0" w:right="0"/>
              <w:rPr>
                <w:rFonts w:hint="eastAsia" w:ascii="Times New Roman" w:hAnsi="Times New Roman" w:eastAsia="宋体" w:cs="Times New Roman"/>
                <w:kern w:val="2"/>
                <w:sz w:val="21"/>
                <w:szCs w:val="21"/>
                <w:lang w:val="en-US" w:eastAsia="zh-CN" w:bidi="ar-SA"/>
              </w:rPr>
            </w:pPr>
            <w:r>
              <w:rPr>
                <w:rFonts w:hint="eastAsia"/>
                <w:szCs w:val="21"/>
              </w:rPr>
              <w:t>山西钰海果业股份有限公司</w:t>
            </w:r>
          </w:p>
        </w:tc>
        <w:tc>
          <w:tcPr>
            <w:tcW w:w="1079" w:type="dxa"/>
            <w:noWrap w:val="0"/>
            <w:vAlign w:val="center"/>
          </w:tcPr>
          <w:p>
            <w:pPr>
              <w:keepNext w:val="0"/>
              <w:keepLines w:val="0"/>
              <w:suppressLineNumbers w:val="0"/>
              <w:adjustRightInd w:val="0"/>
              <w:snapToGrid w:val="0"/>
              <w:spacing w:before="0" w:beforeAutospacing="0" w:after="0" w:afterAutospacing="0" w:line="360" w:lineRule="auto"/>
              <w:ind w:left="0" w:right="0"/>
              <w:rPr>
                <w:rFonts w:hint="default" w:ascii="Times New Roman" w:hAnsi="Times New Roman" w:eastAsia="宋体" w:cs="Times New Roman"/>
                <w:kern w:val="2"/>
                <w:sz w:val="21"/>
                <w:szCs w:val="21"/>
                <w:lang w:val="en-US" w:eastAsia="zh-CN" w:bidi="ar-SA"/>
              </w:rPr>
            </w:pPr>
            <w:r>
              <w:rPr>
                <w:rFonts w:hint="default"/>
                <w:szCs w:val="21"/>
              </w:rPr>
              <w:t>采纳</w:t>
            </w:r>
          </w:p>
        </w:tc>
        <w:tc>
          <w:tcPr>
            <w:tcW w:w="1980" w:type="dxa"/>
            <w:noWrap w:val="0"/>
            <w:vAlign w:val="center"/>
          </w:tcPr>
          <w:p>
            <w:pPr>
              <w:keepNext w:val="0"/>
              <w:keepLines w:val="0"/>
              <w:suppressLineNumbers w:val="0"/>
              <w:adjustRightInd w:val="0"/>
              <w:snapToGrid w:val="0"/>
              <w:spacing w:before="0" w:beforeAutospacing="0" w:after="0" w:afterAutospacing="0" w:line="360" w:lineRule="auto"/>
              <w:ind w:left="0" w:right="0"/>
              <w:rPr>
                <w:rFonts w:hint="eastAsia" w:ascii="Times New Roman" w:hAnsi="Times New Roman" w:eastAsia="宋体" w:cs="Times New Roman"/>
                <w:kern w:val="2"/>
                <w:sz w:val="21"/>
                <w:szCs w:val="21"/>
                <w:lang w:val="en-US" w:eastAsia="zh-CN" w:bidi="ar-SA"/>
              </w:rPr>
            </w:pPr>
            <w:r>
              <w:rPr>
                <w:rFonts w:hint="eastAsia"/>
                <w:szCs w:val="21"/>
              </w:rPr>
              <w:t>已增补内容</w:t>
            </w: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760" w:hRule="atLeast"/>
          <w:jc w:val="center"/>
        </w:trPr>
        <w:tc>
          <w:tcPr>
            <w:tcW w:w="656" w:type="dxa"/>
            <w:noWrap w:val="0"/>
            <w:vAlign w:val="center"/>
          </w:tcPr>
          <w:p>
            <w:pPr>
              <w:keepNext w:val="0"/>
              <w:keepLines w:val="0"/>
              <w:suppressLineNumbers w:val="0"/>
              <w:adjustRightInd w:val="0"/>
              <w:snapToGrid w:val="0"/>
              <w:spacing w:before="0" w:beforeAutospacing="0" w:after="0" w:afterAutospacing="0" w:line="360" w:lineRule="auto"/>
              <w:ind w:left="0" w:right="0"/>
              <w:jc w:val="center"/>
              <w:rPr>
                <w:rFonts w:hint="eastAsia"/>
                <w:szCs w:val="21"/>
              </w:rPr>
            </w:pPr>
            <w:r>
              <w:rPr>
                <w:rFonts w:hint="eastAsia"/>
                <w:szCs w:val="21"/>
              </w:rPr>
              <w:t>4</w:t>
            </w:r>
          </w:p>
        </w:tc>
        <w:tc>
          <w:tcPr>
            <w:tcW w:w="1534" w:type="dxa"/>
            <w:noWrap w:val="0"/>
            <w:vAlign w:val="center"/>
          </w:tcPr>
          <w:p>
            <w:pPr>
              <w:keepNext w:val="0"/>
              <w:keepLines w:val="0"/>
              <w:suppressLineNumbers w:val="0"/>
              <w:adjustRightInd w:val="0"/>
              <w:snapToGrid w:val="0"/>
              <w:spacing w:before="0" w:beforeAutospacing="0" w:after="0" w:afterAutospacing="0" w:line="360" w:lineRule="auto"/>
              <w:ind w:left="0" w:right="0"/>
              <w:rPr>
                <w:rFonts w:hint="eastAsia" w:ascii="Times New Roman" w:hAnsi="Times New Roman" w:eastAsia="宋体" w:cs="Times New Roman"/>
                <w:kern w:val="2"/>
                <w:sz w:val="24"/>
                <w:szCs w:val="21"/>
                <w:lang w:val="en-US" w:eastAsia="zh-CN" w:bidi="ar-SA"/>
              </w:rPr>
            </w:pPr>
            <w:r>
              <w:rPr>
                <w:rFonts w:hint="eastAsia"/>
                <w:sz w:val="24"/>
              </w:rPr>
              <w:t xml:space="preserve">10.8 </w:t>
            </w:r>
          </w:p>
        </w:tc>
        <w:tc>
          <w:tcPr>
            <w:tcW w:w="5686" w:type="dxa"/>
            <w:noWrap w:val="0"/>
            <w:vAlign w:val="center"/>
          </w:tcPr>
          <w:p>
            <w:pPr>
              <w:keepNext w:val="0"/>
              <w:keepLines w:val="0"/>
              <w:suppressLineNumbers w:val="0"/>
              <w:adjustRightInd w:val="0"/>
              <w:snapToGrid w:val="0"/>
              <w:spacing w:before="0" w:beforeAutospacing="0" w:after="0" w:afterAutospacing="0" w:line="360" w:lineRule="auto"/>
              <w:ind w:left="0" w:right="0"/>
              <w:rPr>
                <w:rFonts w:hint="eastAsia" w:ascii="Times New Roman" w:hAnsi="Times New Roman" w:eastAsia="宋体" w:cs="Times New Roman"/>
                <w:kern w:val="2"/>
                <w:sz w:val="21"/>
                <w:szCs w:val="21"/>
                <w:lang w:val="en-US" w:eastAsia="zh-CN" w:bidi="ar-SA"/>
              </w:rPr>
            </w:pPr>
            <w:r>
              <w:rPr>
                <w:rFonts w:hint="eastAsia"/>
                <w:szCs w:val="21"/>
              </w:rPr>
              <w:t>针对玉露香梨各类机械伤问题，建议增加安全采收一节</w:t>
            </w:r>
          </w:p>
        </w:tc>
        <w:tc>
          <w:tcPr>
            <w:tcW w:w="3182" w:type="dxa"/>
            <w:noWrap w:val="0"/>
            <w:vAlign w:val="center"/>
          </w:tcPr>
          <w:p>
            <w:pPr>
              <w:keepNext w:val="0"/>
              <w:keepLines w:val="0"/>
              <w:suppressLineNumbers w:val="0"/>
              <w:adjustRightInd w:val="0"/>
              <w:snapToGrid w:val="0"/>
              <w:spacing w:before="0" w:beforeAutospacing="0" w:after="0" w:afterAutospacing="0" w:line="360" w:lineRule="auto"/>
              <w:ind w:left="0" w:right="0"/>
              <w:rPr>
                <w:rFonts w:hint="eastAsia" w:ascii="Times New Roman" w:hAnsi="Times New Roman" w:eastAsia="宋体" w:cs="Times New Roman"/>
                <w:kern w:val="2"/>
                <w:sz w:val="21"/>
                <w:szCs w:val="21"/>
                <w:lang w:val="en-US" w:eastAsia="zh-CN" w:bidi="ar-SA"/>
              </w:rPr>
            </w:pPr>
            <w:r>
              <w:rPr>
                <w:rFonts w:hint="eastAsia"/>
              </w:rPr>
              <w:t>临猗县果业发展中心</w:t>
            </w:r>
          </w:p>
        </w:tc>
        <w:tc>
          <w:tcPr>
            <w:tcW w:w="1079" w:type="dxa"/>
            <w:noWrap w:val="0"/>
            <w:vAlign w:val="center"/>
          </w:tcPr>
          <w:p>
            <w:pPr>
              <w:keepNext w:val="0"/>
              <w:keepLines w:val="0"/>
              <w:suppressLineNumbers w:val="0"/>
              <w:adjustRightInd w:val="0"/>
              <w:snapToGrid w:val="0"/>
              <w:spacing w:before="0" w:beforeAutospacing="0" w:after="0" w:afterAutospacing="0" w:line="360" w:lineRule="auto"/>
              <w:ind w:left="0" w:right="0"/>
              <w:rPr>
                <w:rFonts w:hint="default" w:ascii="Times New Roman" w:hAnsi="Times New Roman" w:eastAsia="宋体" w:cs="Times New Roman"/>
                <w:kern w:val="2"/>
                <w:sz w:val="21"/>
                <w:szCs w:val="21"/>
                <w:lang w:val="en-US" w:eastAsia="zh-CN" w:bidi="ar-SA"/>
              </w:rPr>
            </w:pPr>
            <w:r>
              <w:rPr>
                <w:rFonts w:hint="default"/>
                <w:szCs w:val="21"/>
              </w:rPr>
              <w:t>采纳</w:t>
            </w:r>
          </w:p>
        </w:tc>
        <w:tc>
          <w:tcPr>
            <w:tcW w:w="1980" w:type="dxa"/>
            <w:noWrap w:val="0"/>
            <w:vAlign w:val="center"/>
          </w:tcPr>
          <w:p>
            <w:pPr>
              <w:keepNext w:val="0"/>
              <w:keepLines w:val="0"/>
              <w:suppressLineNumbers w:val="0"/>
              <w:adjustRightInd w:val="0"/>
              <w:snapToGrid w:val="0"/>
              <w:spacing w:before="0" w:beforeAutospacing="0" w:after="0" w:afterAutospacing="0" w:line="360" w:lineRule="auto"/>
              <w:ind w:left="0" w:right="0"/>
              <w:jc w:val="center"/>
              <w:rPr>
                <w:rFonts w:hint="eastAsia" w:ascii="Times New Roman" w:hAnsi="Times New Roman" w:eastAsia="宋体" w:cs="Times New Roman"/>
                <w:kern w:val="2"/>
                <w:sz w:val="21"/>
                <w:szCs w:val="21"/>
                <w:lang w:val="en-US" w:eastAsia="zh-CN" w:bidi="ar-SA"/>
              </w:rPr>
            </w:pPr>
            <w:r>
              <w:rPr>
                <w:rFonts w:hint="eastAsia"/>
                <w:szCs w:val="21"/>
              </w:rPr>
              <w:t>增加安全采收内容</w:t>
            </w: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765" w:hRule="atLeast"/>
          <w:jc w:val="center"/>
        </w:trPr>
        <w:tc>
          <w:tcPr>
            <w:tcW w:w="656" w:type="dxa"/>
            <w:noWrap w:val="0"/>
            <w:vAlign w:val="center"/>
          </w:tcPr>
          <w:p>
            <w:pPr>
              <w:keepNext w:val="0"/>
              <w:keepLines w:val="0"/>
              <w:suppressLineNumbers w:val="0"/>
              <w:adjustRightInd w:val="0"/>
              <w:snapToGrid w:val="0"/>
              <w:spacing w:before="0" w:beforeAutospacing="0" w:after="0" w:afterAutospacing="0" w:line="360" w:lineRule="auto"/>
              <w:ind w:left="0" w:right="0"/>
              <w:jc w:val="center"/>
              <w:rPr>
                <w:rFonts w:hint="eastAsia"/>
                <w:szCs w:val="21"/>
              </w:rPr>
            </w:pPr>
            <w:r>
              <w:rPr>
                <w:rFonts w:hint="eastAsia"/>
                <w:szCs w:val="21"/>
              </w:rPr>
              <w:t>5</w:t>
            </w:r>
          </w:p>
        </w:tc>
        <w:tc>
          <w:tcPr>
            <w:tcW w:w="1534" w:type="dxa"/>
            <w:noWrap w:val="0"/>
            <w:vAlign w:val="center"/>
          </w:tcPr>
          <w:p>
            <w:pPr>
              <w:keepNext w:val="0"/>
              <w:keepLines w:val="0"/>
              <w:suppressLineNumbers w:val="0"/>
              <w:adjustRightInd w:val="0"/>
              <w:snapToGrid w:val="0"/>
              <w:spacing w:before="0" w:beforeAutospacing="0" w:after="0" w:afterAutospacing="0" w:line="360" w:lineRule="auto"/>
              <w:ind w:left="0" w:right="0"/>
              <w:rPr>
                <w:rFonts w:hint="eastAsia" w:ascii="Times New Roman" w:hAnsi="Times New Roman" w:eastAsia="宋体" w:cs="Times New Roman"/>
                <w:kern w:val="2"/>
                <w:sz w:val="24"/>
                <w:szCs w:val="21"/>
                <w:lang w:val="en-US" w:eastAsia="zh-CN" w:bidi="ar-SA"/>
              </w:rPr>
            </w:pPr>
            <w:r>
              <w:rPr>
                <w:rFonts w:hint="eastAsia"/>
                <w:sz w:val="24"/>
              </w:rPr>
              <w:t>11 土壤管理</w:t>
            </w:r>
          </w:p>
        </w:tc>
        <w:tc>
          <w:tcPr>
            <w:tcW w:w="5686" w:type="dxa"/>
            <w:noWrap w:val="0"/>
            <w:vAlign w:val="center"/>
          </w:tcPr>
          <w:p>
            <w:pPr>
              <w:keepNext w:val="0"/>
              <w:keepLines w:val="0"/>
              <w:suppressLineNumbers w:val="0"/>
              <w:adjustRightInd w:val="0"/>
              <w:snapToGrid w:val="0"/>
              <w:spacing w:before="0" w:beforeAutospacing="0" w:after="0" w:afterAutospacing="0" w:line="360" w:lineRule="auto"/>
              <w:ind w:left="0" w:right="0"/>
              <w:rPr>
                <w:rFonts w:hint="eastAsia" w:ascii="Times New Roman" w:hAnsi="Times New Roman" w:eastAsia="宋体" w:cs="Times New Roman"/>
                <w:kern w:val="2"/>
                <w:sz w:val="21"/>
                <w:szCs w:val="21"/>
                <w:lang w:val="en-US" w:eastAsia="zh-CN" w:bidi="ar-SA"/>
              </w:rPr>
            </w:pPr>
            <w:r>
              <w:rPr>
                <w:rFonts w:hint="eastAsia"/>
                <w:szCs w:val="21"/>
              </w:rPr>
              <w:t>土壤管理内容为引用，建议细化技术内容。</w:t>
            </w:r>
          </w:p>
        </w:tc>
        <w:tc>
          <w:tcPr>
            <w:tcW w:w="3182" w:type="dxa"/>
            <w:noWrap w:val="0"/>
            <w:vAlign w:val="center"/>
          </w:tcPr>
          <w:p>
            <w:pPr>
              <w:keepNext w:val="0"/>
              <w:keepLines w:val="0"/>
              <w:suppressLineNumbers w:val="0"/>
              <w:adjustRightInd w:val="0"/>
              <w:snapToGrid w:val="0"/>
              <w:spacing w:before="0" w:beforeAutospacing="0" w:after="0" w:afterAutospacing="0" w:line="360" w:lineRule="auto"/>
              <w:ind w:left="0" w:right="0"/>
              <w:rPr>
                <w:rFonts w:hint="eastAsia" w:ascii="Times New Roman" w:hAnsi="Times New Roman" w:eastAsia="宋体" w:cs="Times New Roman"/>
                <w:kern w:val="2"/>
                <w:sz w:val="21"/>
                <w:szCs w:val="21"/>
                <w:lang w:val="en-US" w:eastAsia="zh-CN" w:bidi="ar-SA"/>
              </w:rPr>
            </w:pPr>
            <w:r>
              <w:rPr>
                <w:rFonts w:hint="eastAsia"/>
                <w:szCs w:val="21"/>
              </w:rPr>
              <w:t>平陆县金童果业专业合作社</w:t>
            </w:r>
          </w:p>
        </w:tc>
        <w:tc>
          <w:tcPr>
            <w:tcW w:w="1079" w:type="dxa"/>
            <w:noWrap w:val="0"/>
            <w:vAlign w:val="center"/>
          </w:tcPr>
          <w:p>
            <w:pPr>
              <w:keepNext w:val="0"/>
              <w:keepLines w:val="0"/>
              <w:suppressLineNumbers w:val="0"/>
              <w:adjustRightInd w:val="0"/>
              <w:snapToGrid w:val="0"/>
              <w:spacing w:before="0" w:beforeAutospacing="0" w:after="0" w:afterAutospacing="0" w:line="360" w:lineRule="auto"/>
              <w:ind w:left="0" w:right="0"/>
              <w:rPr>
                <w:rFonts w:hint="eastAsia" w:ascii="Times New Roman" w:hAnsi="Times New Roman" w:eastAsia="宋体" w:cs="Times New Roman"/>
                <w:kern w:val="2"/>
                <w:sz w:val="21"/>
                <w:szCs w:val="21"/>
                <w:lang w:val="en-US" w:eastAsia="zh-CN" w:bidi="ar-SA"/>
              </w:rPr>
            </w:pPr>
            <w:r>
              <w:rPr>
                <w:rFonts w:hint="eastAsia"/>
                <w:szCs w:val="21"/>
              </w:rPr>
              <w:t>部分采纳</w:t>
            </w:r>
          </w:p>
        </w:tc>
        <w:tc>
          <w:tcPr>
            <w:tcW w:w="1980" w:type="dxa"/>
            <w:noWrap w:val="0"/>
            <w:vAlign w:val="center"/>
          </w:tcPr>
          <w:p>
            <w:pPr>
              <w:keepNext w:val="0"/>
              <w:keepLines w:val="0"/>
              <w:suppressLineNumbers w:val="0"/>
              <w:adjustRightInd w:val="0"/>
              <w:snapToGrid w:val="0"/>
              <w:spacing w:before="0" w:beforeAutospacing="0" w:after="0" w:afterAutospacing="0" w:line="360" w:lineRule="auto"/>
              <w:ind w:left="0" w:right="0"/>
              <w:jc w:val="center"/>
              <w:rPr>
                <w:rFonts w:hint="eastAsia" w:ascii="Times New Roman" w:hAnsi="Times New Roman" w:eastAsia="宋体" w:cs="Times New Roman"/>
                <w:kern w:val="2"/>
                <w:sz w:val="21"/>
                <w:szCs w:val="21"/>
                <w:lang w:val="en-US" w:eastAsia="zh-CN" w:bidi="ar-SA"/>
              </w:rPr>
            </w:pPr>
            <w:r>
              <w:rPr>
                <w:rFonts w:hint="eastAsia"/>
                <w:szCs w:val="21"/>
              </w:rPr>
              <w:t>增加了果园生草与施肥内容</w:t>
            </w:r>
          </w:p>
        </w:tc>
      </w:tr>
    </w:tbl>
    <w:p>
      <w:pPr>
        <w:spacing w:line="360" w:lineRule="auto"/>
        <w:jc w:val="left"/>
      </w:pPr>
    </w:p>
    <w:sectPr>
      <w:pgSz w:w="16838" w:h="11906" w:orient="landscape"/>
      <w:pgMar w:top="1800" w:right="1440" w:bottom="1800" w:left="1440" w:header="851" w:footer="992"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_GB2312">
    <w:altName w:val="Times New Roman"/>
    <w:panose1 w:val="00000000000000000000"/>
    <w:charset w:val="00"/>
    <w:family w:val="auto"/>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r>
      <w:fldChar w:fldCharType="begin"/>
    </w:r>
    <w:r>
      <w:instrText xml:space="preserve">PAGE   \* MERGEFORMAT</w:instrText>
    </w:r>
    <w:r>
      <w:fldChar w:fldCharType="separate"/>
    </w:r>
    <w:r>
      <w:rPr>
        <w:lang w:val="zh-CN"/>
      </w:rPr>
      <w:t>8</w:t>
    </w:r>
    <w:r>
      <w:rPr>
        <w:lang w:val="zh-CN"/>
      </w:rPr>
      <w:fldChar w:fldCharType="end"/>
    </w:r>
  </w:p>
  <w:p>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A8B67A9"/>
    <w:multiLevelType w:val="singleLevel"/>
    <w:tmpl w:val="DA8B67A9"/>
    <w:lvl w:ilvl="0" w:tentative="0">
      <w:start w:val="5"/>
      <w:numFmt w:val="chineseCounting"/>
      <w:suff w:val="nothing"/>
      <w:lvlText w:val="%1、"/>
      <w:lvlJc w:val="left"/>
      <w:rPr>
        <w:rFonts w:hint="eastAsia"/>
      </w:rPr>
    </w:lvl>
  </w:abstractNum>
  <w:abstractNum w:abstractNumId="1">
    <w:nsid w:val="6CEA2025"/>
    <w:multiLevelType w:val="multilevel"/>
    <w:tmpl w:val="6CEA2025"/>
    <w:lvl w:ilvl="0" w:tentative="0">
      <w:start w:val="1"/>
      <w:numFmt w:val="none"/>
      <w:pStyle w:val="39"/>
      <w:suff w:val="nothing"/>
      <w:lvlText w:val="%1"/>
      <w:lvlJc w:val="left"/>
      <w:rPr>
        <w:rFonts w:hint="eastAsia"/>
      </w:rPr>
    </w:lvl>
    <w:lvl w:ilvl="1" w:tentative="0">
      <w:start w:val="1"/>
      <w:numFmt w:val="decimal"/>
      <w:pStyle w:val="37"/>
      <w:suff w:val="nothing"/>
      <w:lvlText w:val="%1%2　"/>
      <w:lvlJc w:val="left"/>
      <w:rPr>
        <w:rFonts w:hint="eastAsia" w:ascii="黑体" w:eastAsia="黑体"/>
        <w:b w:val="0"/>
        <w:bCs w:val="0"/>
        <w:i w:val="0"/>
        <w:iCs w:val="0"/>
        <w:sz w:val="21"/>
        <w:szCs w:val="21"/>
      </w:rPr>
    </w:lvl>
    <w:lvl w:ilvl="2" w:tentative="0">
      <w:start w:val="1"/>
      <w:numFmt w:val="decimal"/>
      <w:pStyle w:val="38"/>
      <w:suff w:val="nothing"/>
      <w:lvlText w:val="%1%2.%3　"/>
      <w:lvlJc w:val="left"/>
      <w:rPr>
        <w:rFonts w:hint="eastAsia" w:ascii="黑体" w:hAnsi="Times New Roman" w:eastAsia="黑体"/>
        <w:b w:val="0"/>
        <w:bCs w:val="0"/>
        <w:i w:val="0"/>
        <w:iCs w:val="0"/>
        <w:caps w:val="0"/>
        <w:smallCaps w:val="0"/>
        <w:strike w:val="0"/>
        <w:dstrike w:val="0"/>
        <w:vanish w:val="0"/>
        <w:color w:val="000000"/>
        <w:spacing w:val="0"/>
        <w:kern w:val="0"/>
        <w:position w:val="0"/>
        <w:sz w:val="21"/>
        <w:szCs w:val="21"/>
        <w:u w:val="none"/>
        <w:vertAlign w:val="baseline"/>
      </w:rPr>
    </w:lvl>
    <w:lvl w:ilvl="3" w:tentative="0">
      <w:start w:val="1"/>
      <w:numFmt w:val="decimal"/>
      <w:pStyle w:val="33"/>
      <w:suff w:val="nothing"/>
      <w:lvlText w:val="%1%2.%3.%4　"/>
      <w:lvlJc w:val="left"/>
      <w:rPr>
        <w:rFonts w:hint="eastAsia" w:ascii="黑体" w:eastAsia="黑体"/>
        <w:b w:val="0"/>
        <w:bCs w:val="0"/>
        <w:i w:val="0"/>
        <w:iCs w:val="0"/>
        <w:sz w:val="21"/>
        <w:szCs w:val="21"/>
      </w:rPr>
    </w:lvl>
    <w:lvl w:ilvl="4" w:tentative="0">
      <w:start w:val="1"/>
      <w:numFmt w:val="decimal"/>
      <w:pStyle w:val="34"/>
      <w:suff w:val="nothing"/>
      <w:lvlText w:val="%1%2.%3.%4.%5　"/>
      <w:lvlJc w:val="left"/>
      <w:rPr>
        <w:rFonts w:hint="eastAsia" w:ascii="黑体" w:eastAsia="黑体"/>
        <w:b w:val="0"/>
        <w:bCs w:val="0"/>
        <w:i w:val="0"/>
        <w:iCs w:val="0"/>
        <w:sz w:val="21"/>
        <w:szCs w:val="21"/>
      </w:rPr>
    </w:lvl>
    <w:lvl w:ilvl="5" w:tentative="0">
      <w:start w:val="1"/>
      <w:numFmt w:val="decimal"/>
      <w:pStyle w:val="35"/>
      <w:suff w:val="nothing"/>
      <w:lvlText w:val="%1%2.%3.%4.%5.%6　"/>
      <w:lvlJc w:val="left"/>
      <w:rPr>
        <w:rFonts w:hint="eastAsia" w:ascii="黑体" w:eastAsia="黑体"/>
        <w:b w:val="0"/>
        <w:bCs w:val="0"/>
        <w:i w:val="0"/>
        <w:iCs w:val="0"/>
        <w:sz w:val="21"/>
        <w:szCs w:val="21"/>
      </w:rPr>
    </w:lvl>
    <w:lvl w:ilvl="6" w:tentative="0">
      <w:start w:val="1"/>
      <w:numFmt w:val="decimal"/>
      <w:pStyle w:val="36"/>
      <w:suff w:val="nothing"/>
      <w:lvlText w:val="%1%2.%3.%4.%5.%6.%7　"/>
      <w:lvlJc w:val="left"/>
      <w:rPr>
        <w:rFonts w:hint="eastAsia" w:ascii="黑体" w:eastAsia="黑体"/>
        <w:b w:val="0"/>
        <w:bCs w:val="0"/>
        <w:i w:val="0"/>
        <w:iCs w:val="0"/>
        <w:sz w:val="21"/>
        <w:szCs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embedSystemFonts/>
  <w:bordersDoNotSurroundHeader w:val="1"/>
  <w:bordersDoNotSurroundFooter w:val="1"/>
  <w:documentProtection w:enforcement="0"/>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jAyODY4ZWU3ZjBkZWY4NjExMGVjMzQyNWMyNjlkYjgifQ=="/>
  </w:docVars>
  <w:rsids>
    <w:rsidRoot w:val="00636FC5"/>
    <w:rsid w:val="00001C9C"/>
    <w:rsid w:val="00002121"/>
    <w:rsid w:val="00003D4E"/>
    <w:rsid w:val="0001430A"/>
    <w:rsid w:val="000173E8"/>
    <w:rsid w:val="000203B7"/>
    <w:rsid w:val="00021FC1"/>
    <w:rsid w:val="00024D73"/>
    <w:rsid w:val="00025BA5"/>
    <w:rsid w:val="00035FEB"/>
    <w:rsid w:val="000443C0"/>
    <w:rsid w:val="00045395"/>
    <w:rsid w:val="00045C4C"/>
    <w:rsid w:val="000471FB"/>
    <w:rsid w:val="00051B0A"/>
    <w:rsid w:val="00054BA0"/>
    <w:rsid w:val="000607D4"/>
    <w:rsid w:val="00061514"/>
    <w:rsid w:val="0006204E"/>
    <w:rsid w:val="00073F3B"/>
    <w:rsid w:val="000754B9"/>
    <w:rsid w:val="00080D84"/>
    <w:rsid w:val="00087B70"/>
    <w:rsid w:val="0009360F"/>
    <w:rsid w:val="0009699A"/>
    <w:rsid w:val="000974DE"/>
    <w:rsid w:val="000A23F9"/>
    <w:rsid w:val="000A281F"/>
    <w:rsid w:val="000B59DE"/>
    <w:rsid w:val="000C1548"/>
    <w:rsid w:val="000C203B"/>
    <w:rsid w:val="000C24FA"/>
    <w:rsid w:val="000C2F16"/>
    <w:rsid w:val="000C3919"/>
    <w:rsid w:val="000C5AE1"/>
    <w:rsid w:val="000C62FE"/>
    <w:rsid w:val="000D36A5"/>
    <w:rsid w:val="000D7E22"/>
    <w:rsid w:val="000E0029"/>
    <w:rsid w:val="000E0518"/>
    <w:rsid w:val="000E5DDF"/>
    <w:rsid w:val="00104D9E"/>
    <w:rsid w:val="001079E4"/>
    <w:rsid w:val="00114B28"/>
    <w:rsid w:val="00136B80"/>
    <w:rsid w:val="00140883"/>
    <w:rsid w:val="001422D2"/>
    <w:rsid w:val="00142DCA"/>
    <w:rsid w:val="001451F2"/>
    <w:rsid w:val="00153E55"/>
    <w:rsid w:val="00155235"/>
    <w:rsid w:val="0016381F"/>
    <w:rsid w:val="0016534D"/>
    <w:rsid w:val="001653E3"/>
    <w:rsid w:val="001657F4"/>
    <w:rsid w:val="00184DC2"/>
    <w:rsid w:val="00195264"/>
    <w:rsid w:val="001A0041"/>
    <w:rsid w:val="001A0916"/>
    <w:rsid w:val="001C0311"/>
    <w:rsid w:val="001C1B81"/>
    <w:rsid w:val="001C2BE8"/>
    <w:rsid w:val="001C3ACE"/>
    <w:rsid w:val="001C3D31"/>
    <w:rsid w:val="001D06C4"/>
    <w:rsid w:val="001D0957"/>
    <w:rsid w:val="001D7128"/>
    <w:rsid w:val="001E486F"/>
    <w:rsid w:val="001F695E"/>
    <w:rsid w:val="001F7C13"/>
    <w:rsid w:val="001F7CF9"/>
    <w:rsid w:val="0020132D"/>
    <w:rsid w:val="002042E4"/>
    <w:rsid w:val="00211530"/>
    <w:rsid w:val="00213570"/>
    <w:rsid w:val="00217A11"/>
    <w:rsid w:val="002216A8"/>
    <w:rsid w:val="00226A9A"/>
    <w:rsid w:val="00226FD3"/>
    <w:rsid w:val="00227FEE"/>
    <w:rsid w:val="00230DF6"/>
    <w:rsid w:val="002331DE"/>
    <w:rsid w:val="00233658"/>
    <w:rsid w:val="00233B76"/>
    <w:rsid w:val="00243164"/>
    <w:rsid w:val="00243B8F"/>
    <w:rsid w:val="00243DA6"/>
    <w:rsid w:val="00243E19"/>
    <w:rsid w:val="00247BC6"/>
    <w:rsid w:val="002508ED"/>
    <w:rsid w:val="00252DE5"/>
    <w:rsid w:val="002606D8"/>
    <w:rsid w:val="00261187"/>
    <w:rsid w:val="00267EEC"/>
    <w:rsid w:val="00270C24"/>
    <w:rsid w:val="00273B1D"/>
    <w:rsid w:val="002746DC"/>
    <w:rsid w:val="00277378"/>
    <w:rsid w:val="00277EC1"/>
    <w:rsid w:val="0028564F"/>
    <w:rsid w:val="00285ABA"/>
    <w:rsid w:val="002B52FE"/>
    <w:rsid w:val="002B6A3E"/>
    <w:rsid w:val="002B7335"/>
    <w:rsid w:val="002C169F"/>
    <w:rsid w:val="002C3C6B"/>
    <w:rsid w:val="002D3E11"/>
    <w:rsid w:val="002E04E6"/>
    <w:rsid w:val="002E5A2F"/>
    <w:rsid w:val="003024F7"/>
    <w:rsid w:val="0031028C"/>
    <w:rsid w:val="003150DE"/>
    <w:rsid w:val="00315657"/>
    <w:rsid w:val="003158E5"/>
    <w:rsid w:val="003221E9"/>
    <w:rsid w:val="003259EC"/>
    <w:rsid w:val="00330396"/>
    <w:rsid w:val="003311E6"/>
    <w:rsid w:val="00332318"/>
    <w:rsid w:val="0033472D"/>
    <w:rsid w:val="00336488"/>
    <w:rsid w:val="00342A32"/>
    <w:rsid w:val="003439A2"/>
    <w:rsid w:val="00344D61"/>
    <w:rsid w:val="003469EC"/>
    <w:rsid w:val="00347085"/>
    <w:rsid w:val="003509C0"/>
    <w:rsid w:val="003556E4"/>
    <w:rsid w:val="0036351B"/>
    <w:rsid w:val="00366032"/>
    <w:rsid w:val="003705E8"/>
    <w:rsid w:val="00371543"/>
    <w:rsid w:val="003716D4"/>
    <w:rsid w:val="003810BA"/>
    <w:rsid w:val="003925B2"/>
    <w:rsid w:val="00394B25"/>
    <w:rsid w:val="0039560A"/>
    <w:rsid w:val="003A21FE"/>
    <w:rsid w:val="003A5C65"/>
    <w:rsid w:val="003B0DE6"/>
    <w:rsid w:val="003B17F4"/>
    <w:rsid w:val="003B1D77"/>
    <w:rsid w:val="003B7D6F"/>
    <w:rsid w:val="003C3911"/>
    <w:rsid w:val="003D3463"/>
    <w:rsid w:val="003D528A"/>
    <w:rsid w:val="003D6374"/>
    <w:rsid w:val="003D6FB0"/>
    <w:rsid w:val="003E0207"/>
    <w:rsid w:val="003E24D6"/>
    <w:rsid w:val="003E2D3A"/>
    <w:rsid w:val="003F035B"/>
    <w:rsid w:val="003F1FC6"/>
    <w:rsid w:val="003F3EBE"/>
    <w:rsid w:val="00402952"/>
    <w:rsid w:val="004047A2"/>
    <w:rsid w:val="00404C7A"/>
    <w:rsid w:val="00407C56"/>
    <w:rsid w:val="00410C0E"/>
    <w:rsid w:val="00420EB4"/>
    <w:rsid w:val="004240E3"/>
    <w:rsid w:val="00433525"/>
    <w:rsid w:val="00435EF8"/>
    <w:rsid w:val="00441A8F"/>
    <w:rsid w:val="00441B8A"/>
    <w:rsid w:val="0044501D"/>
    <w:rsid w:val="004450AB"/>
    <w:rsid w:val="00451A7E"/>
    <w:rsid w:val="004547E0"/>
    <w:rsid w:val="00461F43"/>
    <w:rsid w:val="0046480C"/>
    <w:rsid w:val="004679BA"/>
    <w:rsid w:val="004770BA"/>
    <w:rsid w:val="0048050F"/>
    <w:rsid w:val="00485AB3"/>
    <w:rsid w:val="00487C47"/>
    <w:rsid w:val="0049020D"/>
    <w:rsid w:val="004943B6"/>
    <w:rsid w:val="00494F67"/>
    <w:rsid w:val="00495DCD"/>
    <w:rsid w:val="004A0CC0"/>
    <w:rsid w:val="004A2295"/>
    <w:rsid w:val="004A6D81"/>
    <w:rsid w:val="004A7E24"/>
    <w:rsid w:val="004B7966"/>
    <w:rsid w:val="004B7B8C"/>
    <w:rsid w:val="004D4066"/>
    <w:rsid w:val="004D62AF"/>
    <w:rsid w:val="004E42DA"/>
    <w:rsid w:val="004E45D5"/>
    <w:rsid w:val="004E49DF"/>
    <w:rsid w:val="004E531D"/>
    <w:rsid w:val="004E5AFA"/>
    <w:rsid w:val="004F10CE"/>
    <w:rsid w:val="004F4490"/>
    <w:rsid w:val="004F4EF5"/>
    <w:rsid w:val="004F6A63"/>
    <w:rsid w:val="00504A7B"/>
    <w:rsid w:val="0050538B"/>
    <w:rsid w:val="005119FA"/>
    <w:rsid w:val="00513F60"/>
    <w:rsid w:val="005165DC"/>
    <w:rsid w:val="00532A27"/>
    <w:rsid w:val="00532EC9"/>
    <w:rsid w:val="0053409C"/>
    <w:rsid w:val="0053513E"/>
    <w:rsid w:val="005354BE"/>
    <w:rsid w:val="00535FC3"/>
    <w:rsid w:val="00536728"/>
    <w:rsid w:val="0056323B"/>
    <w:rsid w:val="00564B59"/>
    <w:rsid w:val="00573771"/>
    <w:rsid w:val="005811F3"/>
    <w:rsid w:val="00582DEA"/>
    <w:rsid w:val="0058589E"/>
    <w:rsid w:val="005913FC"/>
    <w:rsid w:val="0059142D"/>
    <w:rsid w:val="005915E3"/>
    <w:rsid w:val="00597C60"/>
    <w:rsid w:val="005A0ED2"/>
    <w:rsid w:val="005A3C89"/>
    <w:rsid w:val="005A42A5"/>
    <w:rsid w:val="005B07C8"/>
    <w:rsid w:val="005B1473"/>
    <w:rsid w:val="005B4A6F"/>
    <w:rsid w:val="005B7CA6"/>
    <w:rsid w:val="005C1F9E"/>
    <w:rsid w:val="005D7139"/>
    <w:rsid w:val="005E5E7B"/>
    <w:rsid w:val="005F020B"/>
    <w:rsid w:val="005F3B9E"/>
    <w:rsid w:val="005F3DB9"/>
    <w:rsid w:val="005F50AA"/>
    <w:rsid w:val="005F5D65"/>
    <w:rsid w:val="005F76FB"/>
    <w:rsid w:val="00604181"/>
    <w:rsid w:val="00604E2D"/>
    <w:rsid w:val="0060567D"/>
    <w:rsid w:val="00611A58"/>
    <w:rsid w:val="00614AA4"/>
    <w:rsid w:val="00616FC1"/>
    <w:rsid w:val="00620469"/>
    <w:rsid w:val="006206EA"/>
    <w:rsid w:val="0063154F"/>
    <w:rsid w:val="00633B19"/>
    <w:rsid w:val="00633EF1"/>
    <w:rsid w:val="00636FC5"/>
    <w:rsid w:val="006400BA"/>
    <w:rsid w:val="00641B9A"/>
    <w:rsid w:val="006423BB"/>
    <w:rsid w:val="00642628"/>
    <w:rsid w:val="006467CA"/>
    <w:rsid w:val="006500A2"/>
    <w:rsid w:val="0066172F"/>
    <w:rsid w:val="00662AD1"/>
    <w:rsid w:val="00663745"/>
    <w:rsid w:val="00670B31"/>
    <w:rsid w:val="006756E6"/>
    <w:rsid w:val="00680F3E"/>
    <w:rsid w:val="0068404D"/>
    <w:rsid w:val="00691427"/>
    <w:rsid w:val="006915F6"/>
    <w:rsid w:val="00691656"/>
    <w:rsid w:val="006918FB"/>
    <w:rsid w:val="00693173"/>
    <w:rsid w:val="0069777F"/>
    <w:rsid w:val="006A4784"/>
    <w:rsid w:val="006A5225"/>
    <w:rsid w:val="006A7107"/>
    <w:rsid w:val="006A770D"/>
    <w:rsid w:val="006B3E2E"/>
    <w:rsid w:val="006C472E"/>
    <w:rsid w:val="006C7054"/>
    <w:rsid w:val="006D0FBE"/>
    <w:rsid w:val="006D1116"/>
    <w:rsid w:val="006E02DD"/>
    <w:rsid w:val="006E1129"/>
    <w:rsid w:val="00702811"/>
    <w:rsid w:val="00706BC0"/>
    <w:rsid w:val="007138B0"/>
    <w:rsid w:val="00713D54"/>
    <w:rsid w:val="00715399"/>
    <w:rsid w:val="00720C80"/>
    <w:rsid w:val="007230A0"/>
    <w:rsid w:val="0072360B"/>
    <w:rsid w:val="0072435E"/>
    <w:rsid w:val="007249D5"/>
    <w:rsid w:val="00730F68"/>
    <w:rsid w:val="00734037"/>
    <w:rsid w:val="0074190C"/>
    <w:rsid w:val="00743BCA"/>
    <w:rsid w:val="00755C73"/>
    <w:rsid w:val="00757A64"/>
    <w:rsid w:val="00760C71"/>
    <w:rsid w:val="00763867"/>
    <w:rsid w:val="007665EF"/>
    <w:rsid w:val="00767B97"/>
    <w:rsid w:val="0077176C"/>
    <w:rsid w:val="00772C34"/>
    <w:rsid w:val="00773A15"/>
    <w:rsid w:val="007743EC"/>
    <w:rsid w:val="00776852"/>
    <w:rsid w:val="00776D66"/>
    <w:rsid w:val="00777B27"/>
    <w:rsid w:val="00791BB3"/>
    <w:rsid w:val="0079399E"/>
    <w:rsid w:val="00795AB4"/>
    <w:rsid w:val="007975E1"/>
    <w:rsid w:val="007A65A0"/>
    <w:rsid w:val="007B0D2E"/>
    <w:rsid w:val="007B2777"/>
    <w:rsid w:val="007B2968"/>
    <w:rsid w:val="007C39F2"/>
    <w:rsid w:val="007C3AD6"/>
    <w:rsid w:val="007C3D18"/>
    <w:rsid w:val="007D08C1"/>
    <w:rsid w:val="007D31A8"/>
    <w:rsid w:val="007E6D31"/>
    <w:rsid w:val="00800843"/>
    <w:rsid w:val="008024F2"/>
    <w:rsid w:val="00807629"/>
    <w:rsid w:val="008125DA"/>
    <w:rsid w:val="00817229"/>
    <w:rsid w:val="00820DFB"/>
    <w:rsid w:val="00821F58"/>
    <w:rsid w:val="008263E7"/>
    <w:rsid w:val="008306CD"/>
    <w:rsid w:val="00840427"/>
    <w:rsid w:val="008449F5"/>
    <w:rsid w:val="0084546C"/>
    <w:rsid w:val="008471EC"/>
    <w:rsid w:val="008519FE"/>
    <w:rsid w:val="00856ECE"/>
    <w:rsid w:val="00862581"/>
    <w:rsid w:val="00863825"/>
    <w:rsid w:val="008729C9"/>
    <w:rsid w:val="00874B45"/>
    <w:rsid w:val="00880EC6"/>
    <w:rsid w:val="00884A91"/>
    <w:rsid w:val="00887105"/>
    <w:rsid w:val="008935DA"/>
    <w:rsid w:val="008A1B81"/>
    <w:rsid w:val="008A36A4"/>
    <w:rsid w:val="008A699E"/>
    <w:rsid w:val="008A6D37"/>
    <w:rsid w:val="008B7F7F"/>
    <w:rsid w:val="008C1D81"/>
    <w:rsid w:val="008C4583"/>
    <w:rsid w:val="008E256F"/>
    <w:rsid w:val="008E454E"/>
    <w:rsid w:val="008F1AAD"/>
    <w:rsid w:val="008F5288"/>
    <w:rsid w:val="0091113A"/>
    <w:rsid w:val="00915F25"/>
    <w:rsid w:val="009166F0"/>
    <w:rsid w:val="00916E3B"/>
    <w:rsid w:val="00920385"/>
    <w:rsid w:val="00920544"/>
    <w:rsid w:val="009211BD"/>
    <w:rsid w:val="0092160B"/>
    <w:rsid w:val="0092627B"/>
    <w:rsid w:val="00934199"/>
    <w:rsid w:val="009358E1"/>
    <w:rsid w:val="00936A6B"/>
    <w:rsid w:val="00953792"/>
    <w:rsid w:val="00964B97"/>
    <w:rsid w:val="009705E2"/>
    <w:rsid w:val="00975940"/>
    <w:rsid w:val="0098254B"/>
    <w:rsid w:val="00983D55"/>
    <w:rsid w:val="0098417D"/>
    <w:rsid w:val="009875C5"/>
    <w:rsid w:val="00991DF6"/>
    <w:rsid w:val="0099572B"/>
    <w:rsid w:val="00996196"/>
    <w:rsid w:val="0099787D"/>
    <w:rsid w:val="009A2FA1"/>
    <w:rsid w:val="009B4E35"/>
    <w:rsid w:val="009C3329"/>
    <w:rsid w:val="009C558A"/>
    <w:rsid w:val="009C596B"/>
    <w:rsid w:val="009C5E73"/>
    <w:rsid w:val="009D5C90"/>
    <w:rsid w:val="009E3DCE"/>
    <w:rsid w:val="009F1169"/>
    <w:rsid w:val="009F39E8"/>
    <w:rsid w:val="009F75FD"/>
    <w:rsid w:val="00A2176F"/>
    <w:rsid w:val="00A25526"/>
    <w:rsid w:val="00A30ABC"/>
    <w:rsid w:val="00A31F81"/>
    <w:rsid w:val="00A37819"/>
    <w:rsid w:val="00A4435A"/>
    <w:rsid w:val="00A4451F"/>
    <w:rsid w:val="00A46A80"/>
    <w:rsid w:val="00A50EBF"/>
    <w:rsid w:val="00A52D3C"/>
    <w:rsid w:val="00A53139"/>
    <w:rsid w:val="00A53AA5"/>
    <w:rsid w:val="00A5458D"/>
    <w:rsid w:val="00A57273"/>
    <w:rsid w:val="00A62ED4"/>
    <w:rsid w:val="00A6637E"/>
    <w:rsid w:val="00A73148"/>
    <w:rsid w:val="00A74F2B"/>
    <w:rsid w:val="00A8184F"/>
    <w:rsid w:val="00A90B3A"/>
    <w:rsid w:val="00A935E8"/>
    <w:rsid w:val="00A9450A"/>
    <w:rsid w:val="00A9569D"/>
    <w:rsid w:val="00AA538B"/>
    <w:rsid w:val="00AA685C"/>
    <w:rsid w:val="00AB297F"/>
    <w:rsid w:val="00AB4A9B"/>
    <w:rsid w:val="00AC0AF2"/>
    <w:rsid w:val="00AC2568"/>
    <w:rsid w:val="00AC7446"/>
    <w:rsid w:val="00AD10B8"/>
    <w:rsid w:val="00AD6B94"/>
    <w:rsid w:val="00AF0D1C"/>
    <w:rsid w:val="00AF58B6"/>
    <w:rsid w:val="00B01F81"/>
    <w:rsid w:val="00B03A6D"/>
    <w:rsid w:val="00B04CAD"/>
    <w:rsid w:val="00B04FD0"/>
    <w:rsid w:val="00B071E5"/>
    <w:rsid w:val="00B104BD"/>
    <w:rsid w:val="00B1146C"/>
    <w:rsid w:val="00B130AF"/>
    <w:rsid w:val="00B22B39"/>
    <w:rsid w:val="00B24ED8"/>
    <w:rsid w:val="00B271DE"/>
    <w:rsid w:val="00B27F8A"/>
    <w:rsid w:val="00B3317B"/>
    <w:rsid w:val="00B36550"/>
    <w:rsid w:val="00B43960"/>
    <w:rsid w:val="00B503CA"/>
    <w:rsid w:val="00B56043"/>
    <w:rsid w:val="00B67E1C"/>
    <w:rsid w:val="00B767B8"/>
    <w:rsid w:val="00B77A1D"/>
    <w:rsid w:val="00B80ADA"/>
    <w:rsid w:val="00B8370A"/>
    <w:rsid w:val="00B85CE2"/>
    <w:rsid w:val="00B877F0"/>
    <w:rsid w:val="00B93351"/>
    <w:rsid w:val="00B95E63"/>
    <w:rsid w:val="00B96E91"/>
    <w:rsid w:val="00BA2CDB"/>
    <w:rsid w:val="00BA3C87"/>
    <w:rsid w:val="00BA595B"/>
    <w:rsid w:val="00BA7A98"/>
    <w:rsid w:val="00BB1509"/>
    <w:rsid w:val="00BB6BC4"/>
    <w:rsid w:val="00BC2F49"/>
    <w:rsid w:val="00BC5FAC"/>
    <w:rsid w:val="00BD5606"/>
    <w:rsid w:val="00BE2554"/>
    <w:rsid w:val="00BE3B52"/>
    <w:rsid w:val="00BE465C"/>
    <w:rsid w:val="00C0419D"/>
    <w:rsid w:val="00C05123"/>
    <w:rsid w:val="00C06C73"/>
    <w:rsid w:val="00C15323"/>
    <w:rsid w:val="00C3286F"/>
    <w:rsid w:val="00C3299F"/>
    <w:rsid w:val="00C33013"/>
    <w:rsid w:val="00C411B7"/>
    <w:rsid w:val="00C43949"/>
    <w:rsid w:val="00C459D1"/>
    <w:rsid w:val="00C505BD"/>
    <w:rsid w:val="00C561D9"/>
    <w:rsid w:val="00C665D4"/>
    <w:rsid w:val="00C7245E"/>
    <w:rsid w:val="00C76C16"/>
    <w:rsid w:val="00C77D84"/>
    <w:rsid w:val="00C815C4"/>
    <w:rsid w:val="00C84B6C"/>
    <w:rsid w:val="00C91A98"/>
    <w:rsid w:val="00C93AC5"/>
    <w:rsid w:val="00CA0F6E"/>
    <w:rsid w:val="00CA1614"/>
    <w:rsid w:val="00CA54AC"/>
    <w:rsid w:val="00CA746E"/>
    <w:rsid w:val="00CA7B78"/>
    <w:rsid w:val="00CB117C"/>
    <w:rsid w:val="00CC297A"/>
    <w:rsid w:val="00CC3B0C"/>
    <w:rsid w:val="00CD4D54"/>
    <w:rsid w:val="00CD687E"/>
    <w:rsid w:val="00CD6BB6"/>
    <w:rsid w:val="00CE3B64"/>
    <w:rsid w:val="00CE7C77"/>
    <w:rsid w:val="00CF763D"/>
    <w:rsid w:val="00D002E5"/>
    <w:rsid w:val="00D020CC"/>
    <w:rsid w:val="00D042CB"/>
    <w:rsid w:val="00D10633"/>
    <w:rsid w:val="00D10DC3"/>
    <w:rsid w:val="00D17707"/>
    <w:rsid w:val="00D211A9"/>
    <w:rsid w:val="00D259BF"/>
    <w:rsid w:val="00D26281"/>
    <w:rsid w:val="00D27F7C"/>
    <w:rsid w:val="00D46020"/>
    <w:rsid w:val="00D56B74"/>
    <w:rsid w:val="00D57A84"/>
    <w:rsid w:val="00D665A9"/>
    <w:rsid w:val="00D72927"/>
    <w:rsid w:val="00D72C03"/>
    <w:rsid w:val="00D81CD3"/>
    <w:rsid w:val="00D9062C"/>
    <w:rsid w:val="00D91C3A"/>
    <w:rsid w:val="00D93605"/>
    <w:rsid w:val="00D9617E"/>
    <w:rsid w:val="00DA3FAE"/>
    <w:rsid w:val="00DB07A4"/>
    <w:rsid w:val="00DB0DAB"/>
    <w:rsid w:val="00DB2837"/>
    <w:rsid w:val="00DB2D8F"/>
    <w:rsid w:val="00DB4B2E"/>
    <w:rsid w:val="00DB6514"/>
    <w:rsid w:val="00DB6A89"/>
    <w:rsid w:val="00DC266B"/>
    <w:rsid w:val="00DC4130"/>
    <w:rsid w:val="00DD18A1"/>
    <w:rsid w:val="00DD4471"/>
    <w:rsid w:val="00DE552D"/>
    <w:rsid w:val="00DE5BA8"/>
    <w:rsid w:val="00DE7291"/>
    <w:rsid w:val="00DE73B5"/>
    <w:rsid w:val="00DE7809"/>
    <w:rsid w:val="00DF4B68"/>
    <w:rsid w:val="00E05868"/>
    <w:rsid w:val="00E07594"/>
    <w:rsid w:val="00E11D5F"/>
    <w:rsid w:val="00E15C5B"/>
    <w:rsid w:val="00E23F76"/>
    <w:rsid w:val="00E275CE"/>
    <w:rsid w:val="00E41C96"/>
    <w:rsid w:val="00E42650"/>
    <w:rsid w:val="00E4682B"/>
    <w:rsid w:val="00E47699"/>
    <w:rsid w:val="00E628B1"/>
    <w:rsid w:val="00E71D53"/>
    <w:rsid w:val="00E722BD"/>
    <w:rsid w:val="00E830F6"/>
    <w:rsid w:val="00E87347"/>
    <w:rsid w:val="00E945B0"/>
    <w:rsid w:val="00E94AFD"/>
    <w:rsid w:val="00E957AE"/>
    <w:rsid w:val="00EA6262"/>
    <w:rsid w:val="00EB4480"/>
    <w:rsid w:val="00EB6465"/>
    <w:rsid w:val="00ED6677"/>
    <w:rsid w:val="00EE6530"/>
    <w:rsid w:val="00F00E80"/>
    <w:rsid w:val="00F0713A"/>
    <w:rsid w:val="00F11018"/>
    <w:rsid w:val="00F15AF4"/>
    <w:rsid w:val="00F16E22"/>
    <w:rsid w:val="00F17C71"/>
    <w:rsid w:val="00F27339"/>
    <w:rsid w:val="00F37D20"/>
    <w:rsid w:val="00F42342"/>
    <w:rsid w:val="00F44A09"/>
    <w:rsid w:val="00F52378"/>
    <w:rsid w:val="00F54888"/>
    <w:rsid w:val="00F57262"/>
    <w:rsid w:val="00F61A51"/>
    <w:rsid w:val="00F6407D"/>
    <w:rsid w:val="00F64FBB"/>
    <w:rsid w:val="00F67F81"/>
    <w:rsid w:val="00F703AD"/>
    <w:rsid w:val="00F70EA3"/>
    <w:rsid w:val="00F72835"/>
    <w:rsid w:val="00F73553"/>
    <w:rsid w:val="00F778B9"/>
    <w:rsid w:val="00F77E65"/>
    <w:rsid w:val="00F8226F"/>
    <w:rsid w:val="00F83543"/>
    <w:rsid w:val="00F84C53"/>
    <w:rsid w:val="00F907D1"/>
    <w:rsid w:val="00F926B8"/>
    <w:rsid w:val="00F9426F"/>
    <w:rsid w:val="00F95F55"/>
    <w:rsid w:val="00F968DC"/>
    <w:rsid w:val="00FA2E27"/>
    <w:rsid w:val="00FA4128"/>
    <w:rsid w:val="00FA50A6"/>
    <w:rsid w:val="00FA6158"/>
    <w:rsid w:val="00FA63F4"/>
    <w:rsid w:val="00FB15E3"/>
    <w:rsid w:val="00FB79BD"/>
    <w:rsid w:val="00FC754C"/>
    <w:rsid w:val="00FD0304"/>
    <w:rsid w:val="00FD3CE4"/>
    <w:rsid w:val="00FD684B"/>
    <w:rsid w:val="01986C7C"/>
    <w:rsid w:val="04857B06"/>
    <w:rsid w:val="04B608CE"/>
    <w:rsid w:val="0CFD6BFE"/>
    <w:rsid w:val="106D5628"/>
    <w:rsid w:val="12812171"/>
    <w:rsid w:val="22427B71"/>
    <w:rsid w:val="26CC7C68"/>
    <w:rsid w:val="28C37AE7"/>
    <w:rsid w:val="30B17ECF"/>
    <w:rsid w:val="39905AF8"/>
    <w:rsid w:val="4B7E0EF0"/>
    <w:rsid w:val="526112FD"/>
    <w:rsid w:val="546A4E3B"/>
    <w:rsid w:val="58051751"/>
    <w:rsid w:val="58C55C73"/>
    <w:rsid w:val="78C33907"/>
    <w:rsid w:val="7FAB3790"/>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nhideWhenUsed="0" w:uiPriority="99" w:semiHidden="0" w:name="heading 3"/>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nhideWhenUsed="0" w:uiPriority="99"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ocked="1"/>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link w:val="17"/>
    <w:autoRedefine/>
    <w:qFormat/>
    <w:uiPriority w:val="99"/>
    <w:pPr>
      <w:keepNext/>
      <w:keepLines/>
      <w:tabs>
        <w:tab w:val="left" w:pos="0"/>
      </w:tabs>
      <w:suppressAutoHyphens/>
      <w:spacing w:before="340" w:after="330" w:line="480" w:lineRule="auto"/>
      <w:ind w:left="432" w:hanging="432"/>
      <w:outlineLvl w:val="0"/>
    </w:pPr>
    <w:rPr>
      <w:b/>
      <w:bCs/>
      <w:kern w:val="1"/>
      <w:sz w:val="44"/>
      <w:szCs w:val="44"/>
      <w:lang w:eastAsia="ar-SA"/>
    </w:rPr>
  </w:style>
  <w:style w:type="paragraph" w:styleId="3">
    <w:name w:val="heading 3"/>
    <w:basedOn w:val="1"/>
    <w:next w:val="1"/>
    <w:link w:val="18"/>
    <w:autoRedefine/>
    <w:qFormat/>
    <w:uiPriority w:val="99"/>
    <w:pPr>
      <w:keepNext/>
      <w:keepLines/>
      <w:tabs>
        <w:tab w:val="left" w:pos="0"/>
      </w:tabs>
      <w:suppressAutoHyphens/>
      <w:spacing w:before="260" w:after="260" w:line="412" w:lineRule="auto"/>
      <w:ind w:left="720" w:hanging="720"/>
      <w:outlineLvl w:val="2"/>
    </w:pPr>
    <w:rPr>
      <w:b/>
      <w:bCs/>
      <w:kern w:val="21"/>
      <w:sz w:val="32"/>
      <w:szCs w:val="32"/>
      <w:lang w:eastAsia="ar-SA"/>
    </w:rPr>
  </w:style>
  <w:style w:type="character" w:default="1" w:styleId="13">
    <w:name w:val="Default Paragraph Font"/>
    <w:link w:val="14"/>
    <w:autoRedefine/>
    <w:semiHidden/>
    <w:qFormat/>
    <w:locked/>
    <w:uiPriority w:val="99"/>
  </w:style>
  <w:style w:type="table" w:default="1" w:styleId="11">
    <w:name w:val="Normal Table"/>
    <w:autoRedefin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paragraph" w:styleId="4">
    <w:name w:val="caption"/>
    <w:basedOn w:val="1"/>
    <w:autoRedefine/>
    <w:qFormat/>
    <w:uiPriority w:val="99"/>
    <w:pPr>
      <w:suppressLineNumbers/>
      <w:suppressAutoHyphens/>
      <w:spacing w:before="120" w:after="120"/>
    </w:pPr>
    <w:rPr>
      <w:i/>
      <w:iCs/>
      <w:kern w:val="21"/>
      <w:sz w:val="24"/>
      <w:szCs w:val="24"/>
      <w:lang w:eastAsia="ar-SA"/>
    </w:rPr>
  </w:style>
  <w:style w:type="paragraph" w:styleId="5">
    <w:name w:val="Body Text"/>
    <w:basedOn w:val="1"/>
    <w:link w:val="19"/>
    <w:autoRedefine/>
    <w:qFormat/>
    <w:uiPriority w:val="99"/>
    <w:pPr>
      <w:spacing w:after="120"/>
    </w:pPr>
  </w:style>
  <w:style w:type="paragraph" w:styleId="6">
    <w:name w:val="Date"/>
    <w:basedOn w:val="1"/>
    <w:next w:val="1"/>
    <w:link w:val="20"/>
    <w:autoRedefine/>
    <w:semiHidden/>
    <w:qFormat/>
    <w:uiPriority w:val="99"/>
    <w:pPr>
      <w:ind w:left="100" w:leftChars="2500"/>
    </w:pPr>
  </w:style>
  <w:style w:type="paragraph" w:styleId="7">
    <w:name w:val="Balloon Text"/>
    <w:basedOn w:val="1"/>
    <w:link w:val="21"/>
    <w:autoRedefine/>
    <w:semiHidden/>
    <w:qFormat/>
    <w:uiPriority w:val="99"/>
    <w:rPr>
      <w:sz w:val="18"/>
      <w:szCs w:val="18"/>
    </w:rPr>
  </w:style>
  <w:style w:type="paragraph" w:styleId="8">
    <w:name w:val="footer"/>
    <w:basedOn w:val="1"/>
    <w:link w:val="22"/>
    <w:autoRedefine/>
    <w:qFormat/>
    <w:uiPriority w:val="99"/>
    <w:pPr>
      <w:tabs>
        <w:tab w:val="center" w:pos="4153"/>
        <w:tab w:val="right" w:pos="8306"/>
      </w:tabs>
      <w:snapToGrid w:val="0"/>
      <w:jc w:val="left"/>
    </w:pPr>
    <w:rPr>
      <w:kern w:val="0"/>
      <w:sz w:val="18"/>
      <w:szCs w:val="18"/>
    </w:rPr>
  </w:style>
  <w:style w:type="paragraph" w:styleId="9">
    <w:name w:val="header"/>
    <w:basedOn w:val="1"/>
    <w:link w:val="23"/>
    <w:autoRedefine/>
    <w:qFormat/>
    <w:uiPriority w:val="99"/>
    <w:pPr>
      <w:pBdr>
        <w:bottom w:val="single" w:color="auto" w:sz="6" w:space="1"/>
      </w:pBdr>
      <w:tabs>
        <w:tab w:val="center" w:pos="4153"/>
        <w:tab w:val="right" w:pos="8306"/>
      </w:tabs>
      <w:snapToGrid w:val="0"/>
      <w:jc w:val="center"/>
    </w:pPr>
    <w:rPr>
      <w:kern w:val="0"/>
      <w:sz w:val="18"/>
      <w:szCs w:val="18"/>
    </w:rPr>
  </w:style>
  <w:style w:type="paragraph" w:styleId="10">
    <w:name w:val="Normal (Web)"/>
    <w:basedOn w:val="1"/>
    <w:next w:val="1"/>
    <w:autoRedefine/>
    <w:qFormat/>
    <w:uiPriority w:val="99"/>
    <w:pPr>
      <w:spacing w:before="100" w:beforeAutospacing="1" w:after="100" w:afterAutospacing="1"/>
      <w:jc w:val="left"/>
    </w:pPr>
    <w:rPr>
      <w:kern w:val="0"/>
      <w:sz w:val="24"/>
      <w:szCs w:val="24"/>
    </w:rPr>
  </w:style>
  <w:style w:type="table" w:styleId="12">
    <w:name w:val="Table Grid"/>
    <w:basedOn w:val="11"/>
    <w:autoRedefine/>
    <w:qFormat/>
    <w:uiPriority w:val="99"/>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4">
    <w:name w:val="Char1 Char Char Char"/>
    <w:basedOn w:val="1"/>
    <w:link w:val="13"/>
    <w:autoRedefine/>
    <w:qFormat/>
    <w:uiPriority w:val="99"/>
    <w:pPr>
      <w:spacing w:line="360" w:lineRule="auto"/>
    </w:pPr>
  </w:style>
  <w:style w:type="character" w:styleId="15">
    <w:name w:val="Strong"/>
    <w:basedOn w:val="13"/>
    <w:autoRedefine/>
    <w:qFormat/>
    <w:uiPriority w:val="99"/>
    <w:rPr>
      <w:b/>
      <w:bCs/>
    </w:rPr>
  </w:style>
  <w:style w:type="character" w:styleId="16">
    <w:name w:val="page number"/>
    <w:basedOn w:val="13"/>
    <w:autoRedefine/>
    <w:uiPriority w:val="0"/>
  </w:style>
  <w:style w:type="character" w:customStyle="1" w:styleId="17">
    <w:name w:val="Heading 1 Char"/>
    <w:basedOn w:val="13"/>
    <w:link w:val="2"/>
    <w:autoRedefine/>
    <w:qFormat/>
    <w:locked/>
    <w:uiPriority w:val="99"/>
    <w:rPr>
      <w:b/>
      <w:bCs/>
      <w:kern w:val="1"/>
      <w:sz w:val="44"/>
      <w:szCs w:val="44"/>
      <w:lang w:eastAsia="ar-SA" w:bidi="ar-SA"/>
    </w:rPr>
  </w:style>
  <w:style w:type="character" w:customStyle="1" w:styleId="18">
    <w:name w:val="Heading 3 Char"/>
    <w:basedOn w:val="13"/>
    <w:link w:val="3"/>
    <w:autoRedefine/>
    <w:qFormat/>
    <w:locked/>
    <w:uiPriority w:val="99"/>
    <w:rPr>
      <w:b/>
      <w:bCs/>
      <w:kern w:val="21"/>
      <w:sz w:val="32"/>
      <w:szCs w:val="32"/>
      <w:lang w:eastAsia="ar-SA" w:bidi="ar-SA"/>
    </w:rPr>
  </w:style>
  <w:style w:type="character" w:customStyle="1" w:styleId="19">
    <w:name w:val="Body Text Char"/>
    <w:basedOn w:val="13"/>
    <w:link w:val="5"/>
    <w:autoRedefine/>
    <w:qFormat/>
    <w:locked/>
    <w:uiPriority w:val="99"/>
    <w:rPr>
      <w:kern w:val="2"/>
      <w:sz w:val="24"/>
      <w:szCs w:val="24"/>
    </w:rPr>
  </w:style>
  <w:style w:type="character" w:customStyle="1" w:styleId="20">
    <w:name w:val="Date Char"/>
    <w:basedOn w:val="13"/>
    <w:link w:val="6"/>
    <w:autoRedefine/>
    <w:semiHidden/>
    <w:qFormat/>
    <w:locked/>
    <w:uiPriority w:val="99"/>
    <w:rPr>
      <w:kern w:val="2"/>
      <w:sz w:val="24"/>
      <w:szCs w:val="24"/>
    </w:rPr>
  </w:style>
  <w:style w:type="character" w:customStyle="1" w:styleId="21">
    <w:name w:val="Balloon Text Char"/>
    <w:basedOn w:val="13"/>
    <w:link w:val="7"/>
    <w:autoRedefine/>
    <w:semiHidden/>
    <w:qFormat/>
    <w:locked/>
    <w:uiPriority w:val="99"/>
    <w:rPr>
      <w:kern w:val="2"/>
      <w:sz w:val="18"/>
      <w:szCs w:val="18"/>
    </w:rPr>
  </w:style>
  <w:style w:type="character" w:customStyle="1" w:styleId="22">
    <w:name w:val="Footer Char"/>
    <w:basedOn w:val="13"/>
    <w:link w:val="8"/>
    <w:autoRedefine/>
    <w:qFormat/>
    <w:locked/>
    <w:uiPriority w:val="99"/>
    <w:rPr>
      <w:sz w:val="18"/>
      <w:szCs w:val="18"/>
    </w:rPr>
  </w:style>
  <w:style w:type="character" w:customStyle="1" w:styleId="23">
    <w:name w:val="Header Char"/>
    <w:basedOn w:val="13"/>
    <w:link w:val="9"/>
    <w:autoRedefine/>
    <w:qFormat/>
    <w:locked/>
    <w:uiPriority w:val="99"/>
    <w:rPr>
      <w:sz w:val="18"/>
      <w:szCs w:val="18"/>
    </w:rPr>
  </w:style>
  <w:style w:type="paragraph" w:customStyle="1" w:styleId="24">
    <w:name w:val="正文首行缩进 21"/>
    <w:basedOn w:val="25"/>
    <w:next w:val="10"/>
    <w:autoRedefine/>
    <w:qFormat/>
    <w:uiPriority w:val="99"/>
    <w:rPr>
      <w:sz w:val="32"/>
      <w:szCs w:val="32"/>
    </w:rPr>
  </w:style>
  <w:style w:type="paragraph" w:customStyle="1" w:styleId="25">
    <w:name w:val="正文文本缩进1"/>
    <w:basedOn w:val="1"/>
    <w:autoRedefine/>
    <w:qFormat/>
    <w:uiPriority w:val="99"/>
    <w:pPr>
      <w:ind w:left="200" w:leftChars="200"/>
    </w:pPr>
  </w:style>
  <w:style w:type="paragraph" w:styleId="26">
    <w:name w:val="List Paragraph"/>
    <w:basedOn w:val="1"/>
    <w:autoRedefine/>
    <w:qFormat/>
    <w:uiPriority w:val="99"/>
    <w:pPr>
      <w:suppressAutoHyphens/>
      <w:ind w:firstLine="420" w:firstLineChars="200"/>
    </w:pPr>
    <w:rPr>
      <w:kern w:val="21"/>
      <w:lang w:eastAsia="ar-SA"/>
    </w:rPr>
  </w:style>
  <w:style w:type="paragraph" w:customStyle="1" w:styleId="27">
    <w:name w:val="段"/>
    <w:link w:val="28"/>
    <w:autoRedefine/>
    <w:qFormat/>
    <w:uiPriority w:val="99"/>
    <w:pPr>
      <w:tabs>
        <w:tab w:val="center" w:pos="4201"/>
        <w:tab w:val="right" w:leader="dot" w:pos="9298"/>
      </w:tabs>
      <w:autoSpaceDE w:val="0"/>
      <w:autoSpaceDN w:val="0"/>
      <w:ind w:firstLine="420" w:firstLineChars="200"/>
      <w:jc w:val="both"/>
    </w:pPr>
    <w:rPr>
      <w:rFonts w:ascii="宋体" w:hAnsi="Times New Roman" w:eastAsia="宋体" w:cs="宋体"/>
      <w:kern w:val="0"/>
      <w:sz w:val="21"/>
      <w:szCs w:val="21"/>
      <w:lang w:val="en-US" w:eastAsia="zh-CN" w:bidi="ar-SA"/>
    </w:rPr>
  </w:style>
  <w:style w:type="character" w:customStyle="1" w:styleId="28">
    <w:name w:val="段 Char"/>
    <w:link w:val="27"/>
    <w:autoRedefine/>
    <w:qFormat/>
    <w:locked/>
    <w:uiPriority w:val="99"/>
    <w:rPr>
      <w:rFonts w:ascii="宋体" w:cs="宋体"/>
      <w:sz w:val="21"/>
      <w:szCs w:val="21"/>
      <w:lang w:val="en-US" w:eastAsia="zh-CN"/>
    </w:rPr>
  </w:style>
  <w:style w:type="table" w:customStyle="1" w:styleId="29">
    <w:name w:val="浅色底纹1"/>
    <w:autoRedefine/>
    <w:qFormat/>
    <w:uiPriority w:val="99"/>
    <w:rPr>
      <w:color w:val="000000"/>
      <w:kern w:val="0"/>
      <w:sz w:val="20"/>
      <w:szCs w:val="20"/>
    </w:rPr>
    <w:tblPr>
      <w:tblBorders>
        <w:top w:val="single" w:color="000000" w:sz="8" w:space="0"/>
        <w:bottom w:val="single" w:color="000000" w:sz="8" w:space="0"/>
      </w:tblBorders>
      <w:tblCellMar>
        <w:top w:w="0" w:type="dxa"/>
        <w:left w:w="108" w:type="dxa"/>
        <w:bottom w:w="0" w:type="dxa"/>
        <w:right w:w="108" w:type="dxa"/>
      </w:tblCellMar>
    </w:tblPr>
    <w:tblStylePr w:type="firstRow">
      <w:pPr>
        <w:spacing w:before="0" w:after="0"/>
      </w:pPr>
      <w:rPr>
        <w:b/>
        <w:bCs/>
      </w:rPr>
      <w:tcPr>
        <w:tcBorders>
          <w:top w:val="single" w:color="000000" w:sz="8" w:space="0"/>
          <w:left w:val="nil"/>
          <w:bottom w:val="single" w:color="000000" w:sz="8" w:space="0"/>
          <w:right w:val="nil"/>
          <w:insideH w:val="nil"/>
          <w:insideV w:val="nil"/>
        </w:tcBorders>
      </w:tcPr>
    </w:tblStylePr>
    <w:tblStylePr w:type="lastRow">
      <w:pPr>
        <w:spacing w:before="0" w:after="0"/>
      </w:pPr>
      <w:rPr>
        <w:b/>
        <w:bCs/>
      </w:rPr>
      <w:tcPr>
        <w:tcBorders>
          <w:top w:val="single" w:color="000000" w:sz="8" w:space="0"/>
          <w:left w:val="nil"/>
          <w:bottom w:val="single" w:color="000000"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C0C0C0"/>
      </w:tcPr>
    </w:tblStylePr>
    <w:tblStylePr w:type="band1Horz">
      <w:tcPr>
        <w:tcBorders>
          <w:left w:val="nil"/>
          <w:right w:val="nil"/>
          <w:insideH w:val="nil"/>
          <w:insideV w:val="nil"/>
        </w:tcBorders>
        <w:shd w:val="clear" w:color="auto" w:fill="C0C0C0"/>
      </w:tcPr>
    </w:tblStylePr>
  </w:style>
  <w:style w:type="table" w:customStyle="1" w:styleId="30">
    <w:name w:val="浅色底纹2"/>
    <w:autoRedefine/>
    <w:qFormat/>
    <w:uiPriority w:val="99"/>
    <w:rPr>
      <w:color w:val="000000"/>
      <w:kern w:val="0"/>
      <w:sz w:val="20"/>
      <w:szCs w:val="20"/>
    </w:rPr>
    <w:tblPr>
      <w:tblBorders>
        <w:top w:val="single" w:color="000000" w:sz="8" w:space="0"/>
        <w:bottom w:val="single" w:color="000000" w:sz="8" w:space="0"/>
      </w:tblBorders>
      <w:tblCellMar>
        <w:top w:w="0" w:type="dxa"/>
        <w:left w:w="108" w:type="dxa"/>
        <w:bottom w:w="0" w:type="dxa"/>
        <w:right w:w="108" w:type="dxa"/>
      </w:tblCellMar>
    </w:tblPr>
    <w:tblStylePr w:type="firstRow">
      <w:pPr>
        <w:spacing w:before="0" w:after="0"/>
      </w:pPr>
      <w:rPr>
        <w:b/>
        <w:bCs/>
      </w:rPr>
      <w:tcPr>
        <w:tcBorders>
          <w:top w:val="single" w:color="000000" w:sz="8" w:space="0"/>
          <w:left w:val="nil"/>
          <w:bottom w:val="single" w:color="000000" w:sz="8" w:space="0"/>
          <w:right w:val="nil"/>
          <w:insideH w:val="nil"/>
          <w:insideV w:val="nil"/>
        </w:tcBorders>
      </w:tcPr>
    </w:tblStylePr>
    <w:tblStylePr w:type="lastRow">
      <w:pPr>
        <w:spacing w:before="0" w:after="0"/>
      </w:pPr>
      <w:rPr>
        <w:b/>
        <w:bCs/>
      </w:rPr>
      <w:tcPr>
        <w:tcBorders>
          <w:top w:val="single" w:color="000000" w:sz="8" w:space="0"/>
          <w:left w:val="nil"/>
          <w:bottom w:val="single" w:color="000000"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C0C0C0"/>
      </w:tcPr>
    </w:tblStylePr>
    <w:tblStylePr w:type="band1Horz">
      <w:tcPr>
        <w:tcBorders>
          <w:left w:val="nil"/>
          <w:right w:val="nil"/>
          <w:insideH w:val="nil"/>
          <w:insideV w:val="nil"/>
        </w:tcBorders>
        <w:shd w:val="clear" w:color="auto" w:fill="C0C0C0"/>
      </w:tcPr>
    </w:tblStylePr>
  </w:style>
  <w:style w:type="paragraph" w:customStyle="1" w:styleId="31">
    <w:name w:val="标准文件_段"/>
    <w:link w:val="32"/>
    <w:autoRedefine/>
    <w:qFormat/>
    <w:uiPriority w:val="99"/>
    <w:pPr>
      <w:autoSpaceDE w:val="0"/>
      <w:autoSpaceDN w:val="0"/>
      <w:ind w:firstLine="200" w:firstLineChars="200"/>
      <w:jc w:val="both"/>
    </w:pPr>
    <w:rPr>
      <w:rFonts w:ascii="宋体" w:hAnsi="Times New Roman" w:eastAsia="宋体" w:cs="宋体"/>
      <w:kern w:val="0"/>
      <w:sz w:val="21"/>
      <w:szCs w:val="21"/>
      <w:lang w:val="en-US" w:eastAsia="zh-CN" w:bidi="ar-SA"/>
    </w:rPr>
  </w:style>
  <w:style w:type="character" w:customStyle="1" w:styleId="32">
    <w:name w:val="标准文件_段 Char"/>
    <w:link w:val="31"/>
    <w:autoRedefine/>
    <w:qFormat/>
    <w:locked/>
    <w:uiPriority w:val="99"/>
    <w:rPr>
      <w:rFonts w:ascii="宋体" w:cs="宋体"/>
      <w:sz w:val="21"/>
      <w:szCs w:val="21"/>
    </w:rPr>
  </w:style>
  <w:style w:type="paragraph" w:customStyle="1" w:styleId="33">
    <w:name w:val="标准文件_二级条标题"/>
    <w:next w:val="31"/>
    <w:autoRedefine/>
    <w:qFormat/>
    <w:uiPriority w:val="99"/>
    <w:pPr>
      <w:widowControl w:val="0"/>
      <w:numPr>
        <w:ilvl w:val="3"/>
        <w:numId w:val="1"/>
      </w:numPr>
      <w:spacing w:beforeLines="50" w:afterLines="50"/>
      <w:jc w:val="both"/>
      <w:outlineLvl w:val="2"/>
    </w:pPr>
    <w:rPr>
      <w:rFonts w:ascii="黑体" w:hAnsi="Times New Roman" w:eastAsia="黑体" w:cs="黑体"/>
      <w:kern w:val="0"/>
      <w:sz w:val="21"/>
      <w:szCs w:val="21"/>
      <w:lang w:val="en-US" w:eastAsia="zh-CN" w:bidi="ar-SA"/>
    </w:rPr>
  </w:style>
  <w:style w:type="paragraph" w:customStyle="1" w:styleId="34">
    <w:name w:val="标准文件_三级条标题"/>
    <w:basedOn w:val="33"/>
    <w:next w:val="31"/>
    <w:autoRedefine/>
    <w:uiPriority w:val="99"/>
    <w:pPr>
      <w:widowControl/>
      <w:numPr>
        <w:ilvl w:val="4"/>
      </w:numPr>
      <w:outlineLvl w:val="3"/>
    </w:pPr>
  </w:style>
  <w:style w:type="paragraph" w:customStyle="1" w:styleId="35">
    <w:name w:val="标准文件_四级条标题"/>
    <w:next w:val="31"/>
    <w:autoRedefine/>
    <w:qFormat/>
    <w:uiPriority w:val="99"/>
    <w:pPr>
      <w:widowControl w:val="0"/>
      <w:numPr>
        <w:ilvl w:val="5"/>
        <w:numId w:val="1"/>
      </w:numPr>
      <w:spacing w:beforeLines="50" w:afterLines="50"/>
      <w:jc w:val="both"/>
      <w:outlineLvl w:val="4"/>
    </w:pPr>
    <w:rPr>
      <w:rFonts w:ascii="黑体" w:hAnsi="Times New Roman" w:eastAsia="黑体" w:cs="黑体"/>
      <w:kern w:val="0"/>
      <w:sz w:val="21"/>
      <w:szCs w:val="21"/>
      <w:lang w:val="en-US" w:eastAsia="zh-CN" w:bidi="ar-SA"/>
    </w:rPr>
  </w:style>
  <w:style w:type="paragraph" w:customStyle="1" w:styleId="36">
    <w:name w:val="标准文件_五级条标题"/>
    <w:next w:val="31"/>
    <w:autoRedefine/>
    <w:qFormat/>
    <w:uiPriority w:val="99"/>
    <w:pPr>
      <w:widowControl w:val="0"/>
      <w:numPr>
        <w:ilvl w:val="6"/>
        <w:numId w:val="1"/>
      </w:numPr>
      <w:spacing w:beforeLines="50" w:afterLines="50"/>
      <w:jc w:val="both"/>
      <w:outlineLvl w:val="5"/>
    </w:pPr>
    <w:rPr>
      <w:rFonts w:ascii="黑体" w:hAnsi="Times New Roman" w:eastAsia="黑体" w:cs="黑体"/>
      <w:kern w:val="0"/>
      <w:sz w:val="21"/>
      <w:szCs w:val="21"/>
      <w:lang w:val="en-US" w:eastAsia="zh-CN" w:bidi="ar-SA"/>
    </w:rPr>
  </w:style>
  <w:style w:type="paragraph" w:customStyle="1" w:styleId="37">
    <w:name w:val="标准文件_章标题"/>
    <w:next w:val="31"/>
    <w:autoRedefine/>
    <w:qFormat/>
    <w:uiPriority w:val="99"/>
    <w:pPr>
      <w:numPr>
        <w:ilvl w:val="1"/>
        <w:numId w:val="1"/>
      </w:numPr>
      <w:spacing w:beforeLines="100" w:afterLines="100"/>
      <w:jc w:val="both"/>
      <w:outlineLvl w:val="0"/>
    </w:pPr>
    <w:rPr>
      <w:rFonts w:ascii="黑体" w:hAnsi="Times New Roman" w:eastAsia="黑体" w:cs="黑体"/>
      <w:kern w:val="0"/>
      <w:sz w:val="21"/>
      <w:szCs w:val="21"/>
      <w:lang w:val="en-US" w:eastAsia="zh-CN" w:bidi="ar-SA"/>
    </w:rPr>
  </w:style>
  <w:style w:type="paragraph" w:customStyle="1" w:styleId="38">
    <w:name w:val="标准文件_一级条标题"/>
    <w:basedOn w:val="37"/>
    <w:next w:val="31"/>
    <w:autoRedefine/>
    <w:qFormat/>
    <w:uiPriority w:val="99"/>
    <w:pPr>
      <w:numPr>
        <w:ilvl w:val="2"/>
      </w:numPr>
      <w:spacing w:beforeLines="50" w:afterLines="50"/>
      <w:outlineLvl w:val="1"/>
    </w:pPr>
  </w:style>
  <w:style w:type="paragraph" w:customStyle="1" w:styleId="39">
    <w:name w:val="前言标题"/>
    <w:next w:val="1"/>
    <w:autoRedefine/>
    <w:qFormat/>
    <w:uiPriority w:val="99"/>
    <w:pPr>
      <w:numPr>
        <w:ilvl w:val="0"/>
        <w:numId w:val="1"/>
      </w:numPr>
      <w:shd w:val="clear" w:color="FFFFFF" w:fill="FFFFFF"/>
      <w:spacing w:before="540" w:after="600"/>
      <w:jc w:val="center"/>
      <w:outlineLvl w:val="0"/>
    </w:pPr>
    <w:rPr>
      <w:rFonts w:ascii="黑体" w:hAnsi="Times New Roman" w:eastAsia="黑体" w:cs="黑体"/>
      <w:kern w:val="0"/>
      <w:sz w:val="32"/>
      <w:szCs w:val="32"/>
      <w:lang w:val="en-US" w:eastAsia="zh-CN" w:bidi="ar-SA"/>
    </w:rPr>
  </w:style>
  <w:style w:type="paragraph" w:customStyle="1" w:styleId="40">
    <w:name w:val="正文1"/>
    <w:autoRedefine/>
    <w:qFormat/>
    <w:uiPriority w:val="99"/>
    <w:pPr>
      <w:jc w:val="both"/>
    </w:pPr>
    <w:rPr>
      <w:rFonts w:ascii="Calibri" w:hAnsi="Calibri" w:eastAsia="宋体" w:cs="Calibri"/>
      <w:kern w:val="2"/>
      <w:sz w:val="21"/>
      <w:szCs w:val="21"/>
      <w:lang w:val="en-US" w:eastAsia="zh-CN" w:bidi="ar-SA"/>
    </w:rPr>
  </w:style>
  <w:style w:type="paragraph" w:customStyle="1" w:styleId="41">
    <w:name w:val=" Char1 Char Char Char"/>
    <w:basedOn w:val="1"/>
    <w:autoRedefine/>
    <w:qFormat/>
    <w:uiPriority w:val="0"/>
    <w:pPr>
      <w:spacing w:line="360" w:lineRule="auto"/>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Company>Lenovo</Company>
  <Pages>7</Pages>
  <Words>4341</Words>
  <Characters>4475</Characters>
  <Lines>0</Lines>
  <Paragraphs>0</Paragraphs>
  <TotalTime>2</TotalTime>
  <ScaleCrop>false</ScaleCrop>
  <LinksUpToDate>false</LinksUpToDate>
  <CharactersWithSpaces>4914</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2016-02-23T07:17:00Z</dcterms:created>
  <dc:creator>lenovo</dc:creator>
  <cp:lastModifiedBy>露</cp:lastModifiedBy>
  <cp:lastPrinted>2017-01-17T07:31:00Z</cp:lastPrinted>
  <dcterms:modified xsi:type="dcterms:W3CDTF">2024-08-02T07:04:23Z</dcterms:modified>
  <cp:revision>563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9F71B675824C4256B8F308B37BFEE201_12</vt:lpwstr>
  </property>
</Properties>
</file>